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BD" w:rsidRDefault="00F131BD" w:rsidP="00F131BD">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الجامعة الاردنية </w:t>
      </w:r>
    </w:p>
    <w:p w:rsidR="00F131BD" w:rsidRPr="00F131BD" w:rsidRDefault="00F131BD" w:rsidP="00F131BD">
      <w:pPr>
        <w:bidi/>
        <w:spacing w:line="240" w:lineRule="auto"/>
        <w:jc w:val="center"/>
        <w:rPr>
          <w:rFonts w:ascii="Traditional Arabic" w:hAnsi="Traditional Arabic" w:cs="Traditional Arabic"/>
          <w:b/>
          <w:bCs/>
          <w:sz w:val="28"/>
          <w:szCs w:val="28"/>
          <w:rtl/>
          <w:lang w:bidi="ar-DZ"/>
        </w:rPr>
      </w:pPr>
      <w:r w:rsidRPr="00F131BD">
        <w:rPr>
          <w:rFonts w:ascii="Traditional Arabic" w:hAnsi="Traditional Arabic" w:cs="Traditional Arabic" w:hint="cs"/>
          <w:b/>
          <w:bCs/>
          <w:sz w:val="28"/>
          <w:szCs w:val="28"/>
          <w:rtl/>
          <w:lang w:bidi="ar-DZ"/>
        </w:rPr>
        <w:t>المؤتمر الدولي الثاني للمالية المصرفية الاسلامية بعنوان إدارةالسيولة في المصارف الاسلامية</w:t>
      </w:r>
    </w:p>
    <w:p w:rsidR="00F131BD" w:rsidRPr="00F131BD" w:rsidRDefault="00F131BD" w:rsidP="00F131BD">
      <w:pPr>
        <w:bidi/>
        <w:spacing w:line="240" w:lineRule="auto"/>
        <w:jc w:val="center"/>
        <w:rPr>
          <w:rFonts w:ascii="Traditional Arabic" w:hAnsi="Traditional Arabic" w:cs="Traditional Arabic"/>
          <w:b/>
          <w:bCs/>
          <w:sz w:val="28"/>
          <w:szCs w:val="28"/>
          <w:rtl/>
          <w:lang w:bidi="ar-DZ"/>
        </w:rPr>
      </w:pPr>
      <w:r w:rsidRPr="00F131BD">
        <w:rPr>
          <w:rFonts w:ascii="Traditional Arabic" w:hAnsi="Traditional Arabic" w:cs="Traditional Arabic" w:hint="cs"/>
          <w:b/>
          <w:bCs/>
          <w:sz w:val="28"/>
          <w:szCs w:val="28"/>
          <w:rtl/>
          <w:lang w:bidi="ar-DZ"/>
        </w:rPr>
        <w:t>تنظيم واشراف كلية الشريعة قسم المصارف الاسلامية يومي 29-30 تموز 2015</w:t>
      </w:r>
    </w:p>
    <w:p w:rsidR="00F131BD" w:rsidRDefault="00F131BD" w:rsidP="00F131BD">
      <w:pPr>
        <w:bidi/>
        <w:spacing w:line="240" w:lineRule="auto"/>
        <w:jc w:val="center"/>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محور المشاركة المحور الخامس</w:t>
      </w:r>
    </w:p>
    <w:p w:rsidR="00F131BD" w:rsidRDefault="00F131BD" w:rsidP="00F131BD">
      <w:pPr>
        <w:bidi/>
        <w:spacing w:line="240" w:lineRule="auto"/>
        <w:jc w:val="center"/>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عنوان المداخلة: واقع إدارة السيولة في بنك دبي الاسلامي</w:t>
      </w:r>
    </w:p>
    <w:p w:rsidR="00766938" w:rsidRDefault="00766938" w:rsidP="00F131BD">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F131BD" w:rsidRDefault="00F131BD" w:rsidP="00766938">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الدكتور: قرومي حميد                     أستاذ محاضر أ جامعة البويرة دولة الجزائر</w:t>
      </w:r>
    </w:p>
    <w:p w:rsidR="00F131BD" w:rsidRDefault="00F131BD" w:rsidP="00F131BD">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الهاتف: 00213551214285</w:t>
      </w:r>
    </w:p>
    <w:p w:rsidR="00F131BD" w:rsidRDefault="00F131BD" w:rsidP="00F131BD">
      <w:pPr>
        <w:tabs>
          <w:tab w:val="left" w:pos="3248"/>
        </w:tabs>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الايميل: </w:t>
      </w:r>
      <w:r w:rsidRPr="00F131BD">
        <w:rPr>
          <w:rFonts w:ascii="Traditional Arabic" w:hAnsi="Traditional Arabic" w:cs="Traditional Arabic"/>
          <w:b/>
          <w:bCs/>
          <w:sz w:val="28"/>
          <w:szCs w:val="28"/>
          <w:lang w:bidi="ar-DZ"/>
        </w:rPr>
        <w:t>guerroumihamid@yahoo.fr</w:t>
      </w:r>
    </w:p>
    <w:p w:rsidR="00F131BD" w:rsidRDefault="00F131BD" w:rsidP="00F131BD">
      <w:pPr>
        <w:bidi/>
        <w:spacing w:line="240" w:lineRule="auto"/>
        <w:jc w:val="center"/>
        <w:rPr>
          <w:rFonts w:ascii="Traditional Arabic" w:hAnsi="Traditional Arabic" w:cs="Traditional Arabic"/>
          <w:b/>
          <w:bCs/>
          <w:sz w:val="28"/>
          <w:szCs w:val="28"/>
          <w:rtl/>
          <w:lang w:bidi="ar-DZ"/>
        </w:rPr>
      </w:pPr>
    </w:p>
    <w:p w:rsidR="00F131BD" w:rsidRDefault="00F131BD" w:rsidP="00F131BD">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الاستاذ: بن بتيش بلال                    أستاذ جامعة محمد بوضياف المسيلة دولة الجزائر</w:t>
      </w:r>
    </w:p>
    <w:p w:rsidR="00F131BD" w:rsidRDefault="00F131BD" w:rsidP="00F131BD">
      <w:pPr>
        <w:tabs>
          <w:tab w:val="left" w:pos="3443"/>
        </w:tabs>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الهاتف: 00213770656883</w:t>
      </w:r>
    </w:p>
    <w:p w:rsidR="00F131BD" w:rsidRDefault="00F131BD" w:rsidP="00F131BD">
      <w:pPr>
        <w:tabs>
          <w:tab w:val="left" w:pos="3443"/>
        </w:tabs>
        <w:bidi/>
        <w:spacing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الايميل: </w:t>
      </w:r>
      <w:r>
        <w:rPr>
          <w:rFonts w:ascii="Traditional Arabic" w:hAnsi="Traditional Arabic" w:cs="Traditional Arabic"/>
          <w:b/>
          <w:bCs/>
          <w:sz w:val="28"/>
          <w:szCs w:val="28"/>
          <w:lang w:bidi="ar-DZ"/>
        </w:rPr>
        <w:t>bilal2061@hotmail.fr</w:t>
      </w:r>
    </w:p>
    <w:p w:rsidR="00F131BD" w:rsidRDefault="00F131BD" w:rsidP="00F131BD">
      <w:pPr>
        <w:bidi/>
        <w:spacing w:line="240" w:lineRule="auto"/>
        <w:rPr>
          <w:rFonts w:ascii="Traditional Arabic" w:hAnsi="Traditional Arabic" w:cs="Traditional Arabic"/>
          <w:b/>
          <w:bCs/>
          <w:sz w:val="28"/>
          <w:szCs w:val="28"/>
          <w:rtl/>
          <w:lang w:bidi="ar-DZ"/>
        </w:rPr>
      </w:pPr>
    </w:p>
    <w:p w:rsidR="00F131BD" w:rsidRDefault="00F131BD" w:rsidP="00F131BD">
      <w:pPr>
        <w:bidi/>
        <w:spacing w:line="240" w:lineRule="auto"/>
        <w:rPr>
          <w:rFonts w:ascii="Traditional Arabic" w:hAnsi="Traditional Arabic" w:cs="Traditional Arabic"/>
          <w:b/>
          <w:bCs/>
          <w:sz w:val="28"/>
          <w:szCs w:val="28"/>
          <w:rtl/>
          <w:lang w:bidi="ar-DZ"/>
        </w:rPr>
      </w:pPr>
    </w:p>
    <w:p w:rsidR="00F131BD" w:rsidRDefault="00F131BD" w:rsidP="00F131BD">
      <w:pPr>
        <w:bidi/>
        <w:spacing w:line="240" w:lineRule="auto"/>
        <w:rPr>
          <w:rFonts w:ascii="Traditional Arabic" w:hAnsi="Traditional Arabic" w:cs="Traditional Arabic"/>
          <w:b/>
          <w:bCs/>
          <w:sz w:val="28"/>
          <w:szCs w:val="28"/>
          <w:rtl/>
          <w:lang w:bidi="ar-DZ"/>
        </w:rPr>
      </w:pPr>
    </w:p>
    <w:p w:rsidR="00F131BD" w:rsidRDefault="00F131BD" w:rsidP="00F131BD">
      <w:pPr>
        <w:bidi/>
        <w:spacing w:line="240" w:lineRule="auto"/>
        <w:rPr>
          <w:rFonts w:ascii="Traditional Arabic" w:hAnsi="Traditional Arabic" w:cs="Traditional Arabic"/>
          <w:b/>
          <w:bCs/>
          <w:sz w:val="28"/>
          <w:szCs w:val="28"/>
          <w:rtl/>
          <w:lang w:bidi="ar-DZ"/>
        </w:rPr>
      </w:pPr>
    </w:p>
    <w:p w:rsidR="00F131BD" w:rsidRDefault="00F131BD" w:rsidP="00F131BD">
      <w:pPr>
        <w:bidi/>
        <w:spacing w:line="240" w:lineRule="auto"/>
        <w:rPr>
          <w:rFonts w:ascii="Traditional Arabic" w:hAnsi="Traditional Arabic" w:cs="Traditional Arabic"/>
          <w:b/>
          <w:bCs/>
          <w:sz w:val="28"/>
          <w:szCs w:val="28"/>
          <w:rtl/>
          <w:lang w:bidi="ar-DZ"/>
        </w:rPr>
      </w:pPr>
    </w:p>
    <w:p w:rsidR="00F131BD" w:rsidRDefault="00F131BD" w:rsidP="00F131BD">
      <w:pPr>
        <w:bidi/>
        <w:spacing w:line="240" w:lineRule="auto"/>
        <w:rPr>
          <w:rFonts w:ascii="Traditional Arabic" w:hAnsi="Traditional Arabic" w:cs="Traditional Arabic"/>
          <w:b/>
          <w:bCs/>
          <w:sz w:val="28"/>
          <w:szCs w:val="28"/>
          <w:rtl/>
          <w:lang w:bidi="ar-DZ"/>
        </w:rPr>
      </w:pPr>
    </w:p>
    <w:p w:rsidR="00766938" w:rsidRDefault="00766938" w:rsidP="00F131BD">
      <w:pPr>
        <w:bidi/>
        <w:spacing w:line="240" w:lineRule="auto"/>
        <w:rPr>
          <w:rFonts w:ascii="Traditional Arabic" w:hAnsi="Traditional Arabic" w:cs="Traditional Arabic"/>
          <w:b/>
          <w:bCs/>
          <w:sz w:val="28"/>
          <w:szCs w:val="28"/>
          <w:rtl/>
          <w:lang w:bidi="ar-DZ"/>
        </w:rPr>
      </w:pPr>
    </w:p>
    <w:p w:rsidR="00B23742" w:rsidRPr="00F131BD" w:rsidRDefault="00F131BD" w:rsidP="00766938">
      <w:pPr>
        <w:bidi/>
        <w:spacing w:line="240" w:lineRule="auto"/>
        <w:rPr>
          <w:rFonts w:ascii="Traditional Arabic" w:hAnsi="Traditional Arabic" w:cs="Traditional Arabic"/>
          <w:b/>
          <w:bCs/>
          <w:sz w:val="28"/>
          <w:szCs w:val="28"/>
          <w:rtl/>
          <w:lang w:bidi="ar-DZ"/>
        </w:rPr>
      </w:pPr>
      <w:r w:rsidRPr="00F131BD">
        <w:rPr>
          <w:rFonts w:ascii="Traditional Arabic" w:hAnsi="Traditional Arabic" w:cs="Traditional Arabic" w:hint="cs"/>
          <w:b/>
          <w:bCs/>
          <w:sz w:val="28"/>
          <w:szCs w:val="28"/>
          <w:rtl/>
          <w:lang w:bidi="ar-DZ"/>
        </w:rPr>
        <w:lastRenderedPageBreak/>
        <w:t>م</w:t>
      </w:r>
      <w:r w:rsidR="00A5260F" w:rsidRPr="00F131BD">
        <w:rPr>
          <w:rFonts w:ascii="Traditional Arabic" w:hAnsi="Traditional Arabic" w:cs="Traditional Arabic" w:hint="cs"/>
          <w:b/>
          <w:bCs/>
          <w:sz w:val="28"/>
          <w:szCs w:val="28"/>
          <w:rtl/>
          <w:lang w:bidi="ar-DZ"/>
        </w:rPr>
        <w:t xml:space="preserve">لخص: </w:t>
      </w:r>
    </w:p>
    <w:p w:rsidR="00A5260F" w:rsidRDefault="00B23742"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A5260F">
        <w:rPr>
          <w:rFonts w:ascii="Traditional Arabic" w:hAnsi="Traditional Arabic" w:cs="Traditional Arabic" w:hint="cs"/>
          <w:sz w:val="28"/>
          <w:szCs w:val="28"/>
          <w:rtl/>
          <w:lang w:bidi="ar-DZ"/>
        </w:rPr>
        <w:t>من ابرز التحديات التي تواجه البنوك الإسلامية إدارة السيولة بشقيها الفائض او العجز، إذ أن إدارة السيولة تكمن في احتساب السيولة عن طريق نسب محددة منصوصة ضمن قوانين مصرفية، وذلك من اجل تقديرها. لذا على أي بنك أن يحافظ على الحد الأدنى من السيولة من مواجهة طلبات المودعين في المستقبل، ويكون ذلك عن طريق الموازنة المثلى لها و</w:t>
      </w:r>
      <w:r w:rsidR="007414B2">
        <w:rPr>
          <w:rFonts w:ascii="Traditional Arabic" w:hAnsi="Traditional Arabic" w:cs="Traditional Arabic"/>
          <w:sz w:val="28"/>
          <w:szCs w:val="28"/>
          <w:lang w:bidi="ar-DZ"/>
        </w:rPr>
        <w:t xml:space="preserve"> </w:t>
      </w:r>
      <w:r w:rsidR="00A5260F">
        <w:rPr>
          <w:rFonts w:ascii="Traditional Arabic" w:hAnsi="Traditional Arabic" w:cs="Traditional Arabic" w:hint="cs"/>
          <w:sz w:val="28"/>
          <w:szCs w:val="28"/>
          <w:rtl/>
          <w:lang w:bidi="ar-DZ"/>
        </w:rPr>
        <w:t xml:space="preserve">منه توفر السيولة </w:t>
      </w:r>
      <w:r>
        <w:rPr>
          <w:rFonts w:ascii="Traditional Arabic" w:hAnsi="Traditional Arabic" w:cs="Traditional Arabic" w:hint="cs"/>
          <w:sz w:val="28"/>
          <w:szCs w:val="28"/>
          <w:rtl/>
          <w:lang w:bidi="ar-DZ"/>
        </w:rPr>
        <w:t>دلالة على قدرة البنك على الفاء بالتزاماته وكفاءته في تشغيل الموارد.</w:t>
      </w:r>
    </w:p>
    <w:p w:rsidR="00B23742" w:rsidRDefault="00B23742" w:rsidP="00B72B98">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ومن اجل تحقيق هدفنا من هذا العمل، حاولنا التعرف على واقع إدارة السيولة في بنك دبي الإسلامي، الذي تم اختياره كعينة للدراسة وذلك لتوفر بياناته المالية كما انه من البنوك الإسلامية التي تعاني من فائض في السيولة، فقد تحصلنا على بيانات الدراسة من التقارير المالية للبنك خلال الفترة 2009-2013، ولقد تم تحليلها عن طريق المنهج الوصفي، وفي الأخير تبين أن البنوك الإسلامية تعاني من فائض في سيولتها وهذا لامتلاكها شبكة عملاء واسعة.</w:t>
      </w:r>
    </w:p>
    <w:p w:rsidR="00B23742" w:rsidRDefault="00B23742" w:rsidP="00B72D23">
      <w:pPr>
        <w:bidi/>
        <w:spacing w:line="240" w:lineRule="auto"/>
        <w:rPr>
          <w:rFonts w:ascii="Traditional Arabic" w:hAnsi="Traditional Arabic" w:cs="Traditional Arabic"/>
          <w:sz w:val="28"/>
          <w:szCs w:val="28"/>
          <w:lang w:bidi="ar-DZ"/>
        </w:rPr>
      </w:pPr>
      <w:r w:rsidRPr="00B23742">
        <w:rPr>
          <w:rFonts w:ascii="Traditional Arabic" w:hAnsi="Traditional Arabic" w:cs="Traditional Arabic" w:hint="cs"/>
          <w:b/>
          <w:bCs/>
          <w:sz w:val="28"/>
          <w:szCs w:val="28"/>
          <w:rtl/>
          <w:lang w:bidi="ar-DZ"/>
        </w:rPr>
        <w:t>الكلمات المفتاحية</w:t>
      </w:r>
      <w:r>
        <w:rPr>
          <w:rFonts w:ascii="Traditional Arabic" w:hAnsi="Traditional Arabic" w:cs="Traditional Arabic" w:hint="cs"/>
          <w:sz w:val="28"/>
          <w:szCs w:val="28"/>
          <w:rtl/>
          <w:lang w:bidi="ar-DZ"/>
        </w:rPr>
        <w:t>: بنك دبي الإسلامي، إدارة السيولة في بنك دبي.</w:t>
      </w:r>
    </w:p>
    <w:p w:rsidR="00F5246F" w:rsidRPr="00F5246F" w:rsidRDefault="00F5246F" w:rsidP="00F5246F">
      <w:pPr>
        <w:bidi/>
        <w:spacing w:line="240" w:lineRule="auto"/>
        <w:jc w:val="right"/>
        <w:rPr>
          <w:rFonts w:ascii="Traditional Arabic" w:hAnsi="Traditional Arabic" w:cs="Traditional Arabic"/>
          <w:sz w:val="28"/>
          <w:szCs w:val="28"/>
          <w:lang w:val="en-US" w:bidi="ar-DZ"/>
        </w:rPr>
      </w:pPr>
      <w:r w:rsidRPr="00CE4BBC">
        <w:rPr>
          <w:rFonts w:ascii="Traditional Arabic" w:hAnsi="Traditional Arabic" w:cs="Traditional Arabic"/>
          <w:b/>
          <w:bCs/>
          <w:sz w:val="28"/>
          <w:szCs w:val="28"/>
          <w:lang w:val="en-US" w:bidi="ar-DZ"/>
        </w:rPr>
        <w:t>Abstract</w:t>
      </w:r>
    </w:p>
    <w:p w:rsidR="00B72B98" w:rsidRPr="00766938" w:rsidRDefault="00F5246F" w:rsidP="005D7B81">
      <w:pPr>
        <w:bidi/>
        <w:spacing w:line="240" w:lineRule="auto"/>
        <w:jc w:val="right"/>
        <w:rPr>
          <w:rFonts w:ascii="Traditional Arabic" w:hAnsi="Traditional Arabic" w:cs="Traditional Arabic"/>
          <w:sz w:val="24"/>
          <w:szCs w:val="24"/>
          <w:lang w:val="en-US" w:bidi="ar-DZ"/>
        </w:rPr>
      </w:pPr>
      <w:r w:rsidRPr="00766938">
        <w:rPr>
          <w:rFonts w:ascii="Traditional Arabic" w:hAnsi="Traditional Arabic" w:cs="Traditional Arabic"/>
          <w:sz w:val="24"/>
          <w:szCs w:val="24"/>
          <w:lang w:val="en-US" w:bidi="ar-DZ"/>
        </w:rPr>
        <w:t xml:space="preserve">One of the </w:t>
      </w:r>
      <w:r w:rsidR="005D7B81" w:rsidRPr="00766938">
        <w:rPr>
          <w:rFonts w:ascii="Traditional Arabic" w:hAnsi="Traditional Arabic" w:cs="Traditional Arabic"/>
          <w:sz w:val="24"/>
          <w:szCs w:val="24"/>
          <w:lang w:val="en-US" w:bidi="ar-DZ"/>
        </w:rPr>
        <w:t>important</w:t>
      </w:r>
      <w:r w:rsidRPr="00766938">
        <w:rPr>
          <w:rFonts w:ascii="Traditional Arabic" w:hAnsi="Traditional Arabic" w:cs="Traditional Arabic"/>
          <w:sz w:val="24"/>
          <w:szCs w:val="24"/>
          <w:lang w:val="en-US" w:bidi="ar-DZ"/>
        </w:rPr>
        <w:t xml:space="preserve"> challenges that faced the Islamic </w:t>
      </w:r>
      <w:r w:rsidR="00CE4BBC" w:rsidRPr="00766938">
        <w:rPr>
          <w:rFonts w:ascii="Traditional Arabic" w:hAnsi="Traditional Arabic" w:cs="Traditional Arabic"/>
          <w:sz w:val="24"/>
          <w:szCs w:val="24"/>
          <w:lang w:val="en-US" w:bidi="ar-DZ"/>
        </w:rPr>
        <w:t>B</w:t>
      </w:r>
      <w:r w:rsidRPr="00766938">
        <w:rPr>
          <w:rFonts w:ascii="Traditional Arabic" w:hAnsi="Traditional Arabic" w:cs="Traditional Arabic"/>
          <w:sz w:val="24"/>
          <w:szCs w:val="24"/>
          <w:lang w:val="en-US" w:bidi="ar-DZ"/>
        </w:rPr>
        <w:t xml:space="preserve">anks is </w:t>
      </w:r>
      <w:r w:rsidR="005A6C2A" w:rsidRPr="00766938">
        <w:rPr>
          <w:rFonts w:ascii="Traditional Arabic" w:hAnsi="Traditional Arabic" w:cs="Traditional Arabic"/>
          <w:sz w:val="24"/>
          <w:szCs w:val="24"/>
          <w:lang w:val="en-US" w:bidi="ar-DZ"/>
        </w:rPr>
        <w:t>liquidity</w:t>
      </w:r>
      <w:r w:rsidRPr="00766938">
        <w:rPr>
          <w:rFonts w:ascii="Traditional Arabic" w:hAnsi="Traditional Arabic" w:cs="Traditional Arabic"/>
          <w:sz w:val="24"/>
          <w:szCs w:val="24"/>
          <w:lang w:val="en-US" w:bidi="ar-DZ"/>
        </w:rPr>
        <w:t xml:space="preserve"> </w:t>
      </w:r>
      <w:r w:rsidR="00CE4BBC" w:rsidRPr="00766938">
        <w:rPr>
          <w:rFonts w:ascii="Traditional Arabic" w:hAnsi="Traditional Arabic" w:cs="Traditional Arabic"/>
          <w:sz w:val="24"/>
          <w:szCs w:val="24"/>
          <w:lang w:val="en-US" w:bidi="ar-DZ"/>
        </w:rPr>
        <w:t>management</w:t>
      </w:r>
      <w:r w:rsidRPr="00766938">
        <w:rPr>
          <w:rFonts w:ascii="Traditional Arabic" w:hAnsi="Traditional Arabic" w:cs="Traditional Arabic"/>
          <w:sz w:val="24"/>
          <w:szCs w:val="24"/>
          <w:lang w:val="en-US" w:bidi="ar-DZ"/>
        </w:rPr>
        <w:t xml:space="preserve"> and its branches the </w:t>
      </w:r>
      <w:r w:rsidR="00083805" w:rsidRPr="00766938">
        <w:rPr>
          <w:rFonts w:ascii="Traditional Arabic" w:hAnsi="Traditional Arabic" w:cs="Traditional Arabic"/>
          <w:sz w:val="24"/>
          <w:szCs w:val="24"/>
          <w:lang w:val="en-US" w:bidi="ar-DZ"/>
        </w:rPr>
        <w:t>surplus</w:t>
      </w:r>
      <w:r w:rsidRPr="00766938">
        <w:rPr>
          <w:rFonts w:ascii="Traditional Arabic" w:hAnsi="Traditional Arabic" w:cs="Traditional Arabic"/>
          <w:sz w:val="24"/>
          <w:szCs w:val="24"/>
          <w:lang w:val="en-US" w:bidi="ar-DZ"/>
        </w:rPr>
        <w:t xml:space="preserve"> and the shortage, so that </w:t>
      </w:r>
      <w:r w:rsidR="005A6C2A" w:rsidRPr="00766938">
        <w:rPr>
          <w:rFonts w:ascii="Traditional Arabic" w:hAnsi="Traditional Arabic" w:cs="Traditional Arabic"/>
          <w:sz w:val="24"/>
          <w:szCs w:val="24"/>
          <w:lang w:val="en-US" w:bidi="ar-DZ"/>
        </w:rPr>
        <w:t xml:space="preserve">liquidity </w:t>
      </w:r>
      <w:r w:rsidR="00CE4BBC" w:rsidRPr="00766938">
        <w:rPr>
          <w:rFonts w:ascii="Traditional Arabic" w:hAnsi="Traditional Arabic" w:cs="Traditional Arabic"/>
          <w:sz w:val="24"/>
          <w:szCs w:val="24"/>
          <w:lang w:val="en-US" w:bidi="ar-DZ"/>
        </w:rPr>
        <w:t xml:space="preserve">management </w:t>
      </w:r>
      <w:r w:rsidRPr="00766938">
        <w:rPr>
          <w:rFonts w:ascii="Traditional Arabic" w:hAnsi="Traditional Arabic" w:cs="Traditional Arabic"/>
          <w:sz w:val="24"/>
          <w:szCs w:val="24"/>
          <w:lang w:val="en-US" w:bidi="ar-DZ"/>
        </w:rPr>
        <w:t xml:space="preserve">is dwell in counting the </w:t>
      </w:r>
      <w:r w:rsidR="005D7B81" w:rsidRPr="00766938">
        <w:rPr>
          <w:rFonts w:ascii="Traditional Arabic" w:hAnsi="Traditional Arabic" w:cs="Traditional Arabic"/>
          <w:sz w:val="24"/>
          <w:szCs w:val="24"/>
          <w:lang w:val="en-US" w:bidi="ar-DZ"/>
        </w:rPr>
        <w:t xml:space="preserve">liquidity </w:t>
      </w:r>
      <w:r w:rsidRPr="00766938">
        <w:rPr>
          <w:rFonts w:ascii="Traditional Arabic" w:hAnsi="Traditional Arabic" w:cs="Traditional Arabic"/>
          <w:sz w:val="24"/>
          <w:szCs w:val="24"/>
          <w:lang w:val="en-US" w:bidi="ar-DZ"/>
        </w:rPr>
        <w:t xml:space="preserve">through certain </w:t>
      </w:r>
      <w:r w:rsidR="007414B2" w:rsidRPr="00766938">
        <w:rPr>
          <w:rFonts w:ascii="Traditional Arabic" w:hAnsi="Traditional Arabic" w:cs="Traditional Arabic"/>
          <w:sz w:val="24"/>
          <w:szCs w:val="24"/>
          <w:lang w:val="en-US" w:bidi="ar-DZ"/>
        </w:rPr>
        <w:t xml:space="preserve">percentages written within banker laws to account it. So each Bank should reserve the minimal from </w:t>
      </w:r>
      <w:r w:rsidR="005A6C2A" w:rsidRPr="00766938">
        <w:rPr>
          <w:rFonts w:ascii="Traditional Arabic" w:hAnsi="Traditional Arabic" w:cs="Traditional Arabic"/>
          <w:sz w:val="24"/>
          <w:szCs w:val="24"/>
          <w:lang w:val="en-US" w:bidi="ar-DZ"/>
        </w:rPr>
        <w:t xml:space="preserve">liquidity </w:t>
      </w:r>
      <w:r w:rsidR="007414B2" w:rsidRPr="00766938">
        <w:rPr>
          <w:rFonts w:ascii="Traditional Arabic" w:hAnsi="Traditional Arabic" w:cs="Traditional Arabic"/>
          <w:sz w:val="24"/>
          <w:szCs w:val="24"/>
          <w:lang w:val="en-US" w:bidi="ar-DZ"/>
        </w:rPr>
        <w:t>to face the depositor demands in the future, and that through an ideal balancing of it, so saving funds is a sign on the Bank ability to cancel its commitments and capacities in resource working.</w:t>
      </w:r>
    </w:p>
    <w:p w:rsidR="00CE4BBC" w:rsidRPr="00766938" w:rsidRDefault="00B72B98" w:rsidP="005D7B81">
      <w:pPr>
        <w:bidi/>
        <w:spacing w:line="240" w:lineRule="auto"/>
        <w:jc w:val="right"/>
        <w:rPr>
          <w:rFonts w:ascii="Traditional Arabic" w:hAnsi="Traditional Arabic" w:cs="Traditional Arabic"/>
          <w:sz w:val="24"/>
          <w:szCs w:val="24"/>
          <w:lang w:val="en-US" w:bidi="ar-DZ"/>
        </w:rPr>
      </w:pPr>
      <w:r w:rsidRPr="00766938">
        <w:rPr>
          <w:rFonts w:ascii="Traditional Arabic" w:hAnsi="Traditional Arabic" w:cs="Traditional Arabic"/>
          <w:sz w:val="24"/>
          <w:szCs w:val="24"/>
          <w:lang w:val="en-US" w:bidi="ar-DZ"/>
        </w:rPr>
        <w:t>In order to achieve our goal from this work, we tried to</w:t>
      </w:r>
      <w:r w:rsidR="005D7B81" w:rsidRPr="00766938">
        <w:rPr>
          <w:rFonts w:ascii="Traditional Arabic" w:hAnsi="Traditional Arabic" w:cs="Traditional Arabic"/>
          <w:sz w:val="24"/>
          <w:szCs w:val="24"/>
          <w:lang w:val="en-US" w:bidi="ar-DZ"/>
        </w:rPr>
        <w:t xml:space="preserve"> have</w:t>
      </w:r>
      <w:r w:rsidRPr="00766938">
        <w:rPr>
          <w:rFonts w:ascii="Traditional Arabic" w:hAnsi="Traditional Arabic" w:cs="Traditional Arabic"/>
          <w:sz w:val="24"/>
          <w:szCs w:val="24"/>
          <w:lang w:val="en-US" w:bidi="ar-DZ"/>
        </w:rPr>
        <w:t xml:space="preserve"> an idea on the fact of </w:t>
      </w:r>
      <w:r w:rsidR="005A6C2A" w:rsidRPr="00766938">
        <w:rPr>
          <w:rFonts w:ascii="Traditional Arabic" w:hAnsi="Traditional Arabic" w:cs="Traditional Arabic"/>
          <w:sz w:val="24"/>
          <w:szCs w:val="24"/>
          <w:lang w:val="en-US" w:bidi="ar-DZ"/>
        </w:rPr>
        <w:t xml:space="preserve">liquidity </w:t>
      </w:r>
      <w:r w:rsidR="00DE28F3" w:rsidRPr="00766938">
        <w:rPr>
          <w:rFonts w:ascii="Traditional Arabic" w:hAnsi="Traditional Arabic" w:cs="Traditional Arabic"/>
          <w:sz w:val="24"/>
          <w:szCs w:val="24"/>
          <w:lang w:val="en-US" w:bidi="ar-DZ"/>
        </w:rPr>
        <w:t>management</w:t>
      </w:r>
      <w:r w:rsidRPr="00766938">
        <w:rPr>
          <w:rFonts w:ascii="Traditional Arabic" w:hAnsi="Traditional Arabic" w:cs="Traditional Arabic"/>
          <w:sz w:val="24"/>
          <w:szCs w:val="24"/>
          <w:lang w:val="en-US" w:bidi="ar-DZ"/>
        </w:rPr>
        <w:t xml:space="preserve"> in Dub</w:t>
      </w:r>
      <w:r w:rsidR="005D7B81" w:rsidRPr="00766938">
        <w:rPr>
          <w:rFonts w:ascii="Traditional Arabic" w:hAnsi="Traditional Arabic" w:cs="Traditional Arabic"/>
          <w:sz w:val="24"/>
          <w:szCs w:val="24"/>
          <w:lang w:val="en-US" w:bidi="ar-DZ"/>
        </w:rPr>
        <w:t xml:space="preserve">ai </w:t>
      </w:r>
      <w:r w:rsidRPr="00766938">
        <w:rPr>
          <w:rFonts w:ascii="Traditional Arabic" w:hAnsi="Traditional Arabic" w:cs="Traditional Arabic"/>
          <w:sz w:val="24"/>
          <w:szCs w:val="24"/>
          <w:lang w:val="en-US" w:bidi="ar-DZ"/>
        </w:rPr>
        <w:t xml:space="preserve">Islamic Bank, which has been chosen as a study sample, because of the varieties of its financial data, and also </w:t>
      </w:r>
      <w:r w:rsidR="00DE28F3" w:rsidRPr="00766938">
        <w:rPr>
          <w:rFonts w:ascii="Traditional Arabic" w:hAnsi="Traditional Arabic" w:cs="Traditional Arabic"/>
          <w:sz w:val="24"/>
          <w:szCs w:val="24"/>
          <w:lang w:val="en-US" w:bidi="ar-DZ"/>
        </w:rPr>
        <w:t>t</w:t>
      </w:r>
      <w:r w:rsidRPr="00766938">
        <w:rPr>
          <w:rFonts w:ascii="Traditional Arabic" w:hAnsi="Traditional Arabic" w:cs="Traditional Arabic"/>
          <w:sz w:val="24"/>
          <w:szCs w:val="24"/>
          <w:lang w:val="en-US" w:bidi="ar-DZ"/>
        </w:rPr>
        <w:t xml:space="preserve">his </w:t>
      </w:r>
      <w:r w:rsidR="00DE28F3" w:rsidRPr="00766938">
        <w:rPr>
          <w:rFonts w:ascii="Traditional Arabic" w:hAnsi="Traditional Arabic" w:cs="Traditional Arabic"/>
          <w:sz w:val="24"/>
          <w:szCs w:val="24"/>
          <w:lang w:val="en-US" w:bidi="ar-DZ"/>
        </w:rPr>
        <w:t>b</w:t>
      </w:r>
      <w:r w:rsidRPr="00766938">
        <w:rPr>
          <w:rFonts w:ascii="Traditional Arabic" w:hAnsi="Traditional Arabic" w:cs="Traditional Arabic"/>
          <w:sz w:val="24"/>
          <w:szCs w:val="24"/>
          <w:lang w:val="en-US" w:bidi="ar-DZ"/>
        </w:rPr>
        <w:t xml:space="preserve">ank is one of the Islamic Banks that suffer from </w:t>
      </w:r>
      <w:r w:rsidR="00083805" w:rsidRPr="00766938">
        <w:rPr>
          <w:rFonts w:ascii="Traditional Arabic" w:hAnsi="Traditional Arabic" w:cs="Traditional Arabic"/>
          <w:sz w:val="24"/>
          <w:szCs w:val="24"/>
          <w:lang w:val="en-US" w:bidi="ar-DZ"/>
        </w:rPr>
        <w:t xml:space="preserve">surplus </w:t>
      </w:r>
      <w:r w:rsidR="005A6C2A" w:rsidRPr="00766938">
        <w:rPr>
          <w:rFonts w:ascii="Traditional Arabic" w:hAnsi="Traditional Arabic" w:cs="Traditional Arabic"/>
          <w:sz w:val="24"/>
          <w:szCs w:val="24"/>
          <w:lang w:val="en-US" w:bidi="ar-DZ"/>
        </w:rPr>
        <w:t>liquidity</w:t>
      </w:r>
      <w:r w:rsidRPr="00766938">
        <w:rPr>
          <w:rFonts w:ascii="Traditional Arabic" w:hAnsi="Traditional Arabic" w:cs="Traditional Arabic"/>
          <w:sz w:val="24"/>
          <w:szCs w:val="24"/>
          <w:lang w:val="en-US" w:bidi="ar-DZ"/>
        </w:rPr>
        <w:t xml:space="preserve">; we have study data of the Bank  financial reports in the period from 1999 to 2013, which had been analyzed through the qualitative method, at last it concluded that the Islamic Banks suffer from </w:t>
      </w:r>
      <w:r w:rsidR="00083805" w:rsidRPr="00766938">
        <w:rPr>
          <w:rFonts w:ascii="Traditional Arabic" w:hAnsi="Traditional Arabic" w:cs="Traditional Arabic"/>
          <w:sz w:val="24"/>
          <w:szCs w:val="24"/>
          <w:lang w:val="en-US" w:bidi="ar-DZ"/>
        </w:rPr>
        <w:t xml:space="preserve">surplus </w:t>
      </w:r>
      <w:r w:rsidRPr="00766938">
        <w:rPr>
          <w:rFonts w:ascii="Traditional Arabic" w:hAnsi="Traditional Arabic" w:cs="Traditional Arabic"/>
          <w:sz w:val="24"/>
          <w:szCs w:val="24"/>
          <w:lang w:val="en-US" w:bidi="ar-DZ"/>
        </w:rPr>
        <w:t xml:space="preserve">in its </w:t>
      </w:r>
      <w:r w:rsidR="005A6C2A" w:rsidRPr="00766938">
        <w:rPr>
          <w:rFonts w:ascii="Traditional Arabic" w:hAnsi="Traditional Arabic" w:cs="Traditional Arabic"/>
          <w:sz w:val="24"/>
          <w:szCs w:val="24"/>
          <w:lang w:val="en-US" w:bidi="ar-DZ"/>
        </w:rPr>
        <w:t xml:space="preserve">liquidity </w:t>
      </w:r>
      <w:r w:rsidR="00CE4BBC" w:rsidRPr="00766938">
        <w:rPr>
          <w:rFonts w:ascii="Traditional Arabic" w:hAnsi="Traditional Arabic" w:cs="Traditional Arabic"/>
          <w:sz w:val="24"/>
          <w:szCs w:val="24"/>
          <w:lang w:val="en-US" w:bidi="ar-DZ"/>
        </w:rPr>
        <w:t>because of its ownership to a wide customer</w:t>
      </w:r>
      <w:r w:rsidR="008E2F44" w:rsidRPr="00766938">
        <w:rPr>
          <w:rFonts w:ascii="Traditional Arabic" w:hAnsi="Traditional Arabic" w:cs="Traditional Arabic"/>
          <w:sz w:val="24"/>
          <w:szCs w:val="24"/>
          <w:lang w:val="en-US" w:bidi="ar-DZ"/>
        </w:rPr>
        <w:t>s</w:t>
      </w:r>
      <w:r w:rsidR="00CE4BBC" w:rsidRPr="00766938">
        <w:rPr>
          <w:rFonts w:ascii="Traditional Arabic" w:hAnsi="Traditional Arabic" w:cs="Traditional Arabic"/>
          <w:sz w:val="24"/>
          <w:szCs w:val="24"/>
          <w:lang w:val="en-US" w:bidi="ar-DZ"/>
        </w:rPr>
        <w:t xml:space="preserve"> network .</w:t>
      </w:r>
    </w:p>
    <w:p w:rsidR="00B72B98" w:rsidRPr="00766938" w:rsidRDefault="00CE4BBC" w:rsidP="005D7B81">
      <w:pPr>
        <w:bidi/>
        <w:spacing w:line="240" w:lineRule="auto"/>
        <w:jc w:val="right"/>
        <w:rPr>
          <w:rFonts w:ascii="Traditional Arabic" w:hAnsi="Traditional Arabic" w:cs="Traditional Arabic"/>
          <w:sz w:val="24"/>
          <w:szCs w:val="24"/>
          <w:lang w:val="en-US" w:bidi="ar-DZ"/>
        </w:rPr>
      </w:pPr>
      <w:r w:rsidRPr="00766938">
        <w:rPr>
          <w:rFonts w:ascii="Traditional Arabic" w:hAnsi="Traditional Arabic" w:cs="Traditional Arabic"/>
          <w:b/>
          <w:bCs/>
          <w:sz w:val="24"/>
          <w:szCs w:val="24"/>
          <w:lang w:val="en-US" w:bidi="ar-DZ"/>
        </w:rPr>
        <w:t>Keywords</w:t>
      </w:r>
      <w:r w:rsidRPr="00766938">
        <w:rPr>
          <w:rFonts w:ascii="Traditional Arabic" w:hAnsi="Traditional Arabic" w:cs="Traditional Arabic"/>
          <w:sz w:val="24"/>
          <w:szCs w:val="24"/>
          <w:lang w:val="en-US" w:bidi="ar-DZ"/>
        </w:rPr>
        <w:t>: Dub</w:t>
      </w:r>
      <w:r w:rsidR="005D7B81" w:rsidRPr="00766938">
        <w:rPr>
          <w:rFonts w:ascii="Traditional Arabic" w:hAnsi="Traditional Arabic" w:cs="Traditional Arabic"/>
          <w:sz w:val="24"/>
          <w:szCs w:val="24"/>
          <w:lang w:val="en-US" w:bidi="ar-DZ"/>
        </w:rPr>
        <w:t xml:space="preserve">ai </w:t>
      </w:r>
      <w:r w:rsidRPr="00766938">
        <w:rPr>
          <w:rFonts w:ascii="Traditional Arabic" w:hAnsi="Traditional Arabic" w:cs="Traditional Arabic"/>
          <w:sz w:val="24"/>
          <w:szCs w:val="24"/>
          <w:lang w:val="en-US" w:bidi="ar-DZ"/>
        </w:rPr>
        <w:t>Islamic Bank, fund management in Dub</w:t>
      </w:r>
      <w:r w:rsidR="005D7B81" w:rsidRPr="00766938">
        <w:rPr>
          <w:rFonts w:ascii="Traditional Arabic" w:hAnsi="Traditional Arabic" w:cs="Traditional Arabic"/>
          <w:sz w:val="24"/>
          <w:szCs w:val="24"/>
          <w:lang w:val="en-US" w:bidi="ar-DZ"/>
        </w:rPr>
        <w:t>ai</w:t>
      </w:r>
      <w:r w:rsidRPr="00766938">
        <w:rPr>
          <w:rFonts w:ascii="Traditional Arabic" w:hAnsi="Traditional Arabic" w:cs="Traditional Arabic"/>
          <w:sz w:val="24"/>
          <w:szCs w:val="24"/>
          <w:lang w:val="en-US" w:bidi="ar-DZ"/>
        </w:rPr>
        <w:t xml:space="preserve"> Bank. </w:t>
      </w:r>
      <w:r w:rsidR="00B72B98" w:rsidRPr="00766938">
        <w:rPr>
          <w:rFonts w:ascii="Traditional Arabic" w:hAnsi="Traditional Arabic" w:cs="Traditional Arabic"/>
          <w:sz w:val="24"/>
          <w:szCs w:val="24"/>
          <w:lang w:val="en-US" w:bidi="ar-DZ"/>
        </w:rPr>
        <w:t xml:space="preserve">       </w:t>
      </w:r>
    </w:p>
    <w:p w:rsidR="00B23742" w:rsidRDefault="00B23742" w:rsidP="00B72D23">
      <w:pPr>
        <w:bidi/>
        <w:spacing w:line="240" w:lineRule="auto"/>
        <w:rPr>
          <w:rFonts w:ascii="Traditional Arabic" w:hAnsi="Traditional Arabic" w:cs="Traditional Arabic"/>
          <w:sz w:val="28"/>
          <w:szCs w:val="28"/>
          <w:rtl/>
          <w:lang w:bidi="ar-DZ"/>
        </w:rPr>
      </w:pPr>
    </w:p>
    <w:p w:rsidR="00B23742" w:rsidRPr="005D7B81" w:rsidRDefault="00B23742" w:rsidP="00B72D23">
      <w:pPr>
        <w:bidi/>
        <w:spacing w:line="240" w:lineRule="auto"/>
        <w:rPr>
          <w:rFonts w:ascii="Traditional Arabic" w:hAnsi="Traditional Arabic" w:cs="Traditional Arabic"/>
          <w:sz w:val="28"/>
          <w:szCs w:val="28"/>
          <w:lang w:val="en-US" w:bidi="ar-DZ"/>
        </w:rPr>
      </w:pPr>
    </w:p>
    <w:p w:rsidR="005A6C2A" w:rsidRDefault="005A6C2A" w:rsidP="005A6C2A">
      <w:pPr>
        <w:bidi/>
        <w:spacing w:line="240" w:lineRule="auto"/>
        <w:rPr>
          <w:rFonts w:ascii="Traditional Arabic" w:hAnsi="Traditional Arabic" w:cs="Traditional Arabic"/>
          <w:sz w:val="28"/>
          <w:szCs w:val="28"/>
          <w:rtl/>
          <w:lang w:bidi="ar-DZ"/>
        </w:rPr>
      </w:pPr>
    </w:p>
    <w:p w:rsidR="00B23742" w:rsidRPr="00A5260F" w:rsidRDefault="00B23742" w:rsidP="00B72D23">
      <w:pPr>
        <w:bidi/>
        <w:spacing w:line="240" w:lineRule="auto"/>
        <w:rPr>
          <w:rFonts w:ascii="Traditional Arabic" w:hAnsi="Traditional Arabic" w:cs="Traditional Arabic"/>
          <w:sz w:val="28"/>
          <w:szCs w:val="28"/>
          <w:rtl/>
          <w:lang w:bidi="ar-DZ"/>
        </w:rPr>
      </w:pPr>
    </w:p>
    <w:p w:rsidR="00957566" w:rsidRDefault="00957566" w:rsidP="00B72D23">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 xml:space="preserve">مقدمة: </w:t>
      </w:r>
    </w:p>
    <w:p w:rsidR="00B23742" w:rsidRDefault="00E33569"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لقد شهد</w:t>
      </w:r>
      <w:r w:rsidR="00B23742" w:rsidRPr="00B23742">
        <w:rPr>
          <w:rFonts w:ascii="Traditional Arabic" w:hAnsi="Traditional Arabic" w:cs="Traditional Arabic" w:hint="cs"/>
          <w:sz w:val="28"/>
          <w:szCs w:val="28"/>
          <w:rtl/>
          <w:lang w:bidi="ar-DZ"/>
        </w:rPr>
        <w:t xml:space="preserve"> القطاع المصرفي في عدد من ألدول العربية والإسلامية مع بداية السبعينيات، ميلاد تجربة البنوك الإسلامية العاملة والنشطة في إطار قيم وضوابط المعاملات المالية في الاقتصاد الإسلامي، </w:t>
      </w:r>
      <w:r w:rsidR="00B23742">
        <w:rPr>
          <w:rFonts w:ascii="Traditional Arabic" w:hAnsi="Traditional Arabic" w:cs="Traditional Arabic" w:hint="cs"/>
          <w:sz w:val="28"/>
          <w:szCs w:val="28"/>
          <w:rtl/>
          <w:lang w:bidi="ar-DZ"/>
        </w:rPr>
        <w:t xml:space="preserve">وتقوم هذه البنوك على فكرة المشاركة في الربح </w:t>
      </w:r>
      <w:r>
        <w:rPr>
          <w:rFonts w:ascii="Traditional Arabic" w:hAnsi="Traditional Arabic" w:cs="Traditional Arabic" w:hint="cs"/>
          <w:sz w:val="28"/>
          <w:szCs w:val="28"/>
          <w:rtl/>
          <w:lang w:bidi="ar-DZ"/>
        </w:rPr>
        <w:t>والخسارة، وتستبعد التعامل بالفوائد المسبقة التي تعتبر جوهر عمل البنوك التقليدية.</w:t>
      </w:r>
    </w:p>
    <w:p w:rsidR="00E33569" w:rsidRDefault="00E33569"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وقد باءت هذه التجربة بالنجاح الكبير والسبب في ذلك يرجع إلى تبنيها الصناعة المالية الإسلامية وبالتالي زيادة حجم الودائع والحسابات الاستثمارية عما كان مخطط له، هذا ما أدى إلى زيادة التدفقات النقدية الداخلة عن التدفقات النقدية الخارجة وزيادة هذه التدفقات عن النقد الواجب الاحتفاظ به، ما نجم عنه بما يعرف بمشكلة إدارة السيولة خصوصا أن البنوك الإسلامية لا تستطيع التصرف في فائض السيولة مثل البنوك التقليدية، إذ تستطيع هذه الأخيرة أن تودع فائض السيولة في أي وقت لدى البنوك الأخرى بسعر الفائدة السائد في السوق أو تودعها لدى البنك المركزي أو توظيفها في الأسواق المالية، وفي حالة عجز السيولة يمكنها الاقتراض من المؤسسات المالية أو البنوك الأخرى.</w:t>
      </w:r>
    </w:p>
    <w:p w:rsidR="00E33569" w:rsidRDefault="00E33569"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أما البنوك الإسلامية فهي تجد عوائق كبيرة في إدارة سيولتها لأنه في حالة انخفاض السيولة تكون </w:t>
      </w:r>
      <w:r w:rsidR="00FA16B4">
        <w:rPr>
          <w:rFonts w:ascii="Traditional Arabic" w:hAnsi="Traditional Arabic" w:cs="Traditional Arabic" w:hint="cs"/>
          <w:sz w:val="28"/>
          <w:szCs w:val="28"/>
          <w:rtl/>
          <w:lang w:bidi="ar-DZ"/>
        </w:rPr>
        <w:t xml:space="preserve">هناك صعوبة في الحصول على النقدية بتكلفة معقولة إما بالاقتراض أو بيع الأصول لان القروض بفوائد لا تجوز في الشريعة الإسلامية، ولا يمكن اللجوء إلى أدوات السوق النقدي، كما لا تستطيع اللجوء إلى البنك المركزي لان أدوات التعامل في هذه الحالة تتعارض مع أحكام الشريعة الإسلامية، أما في حالة وجود فائض السيولة فان البنوك الإسلامية لا تستطيع تحويل هذا الفائض إلى بنك إسلامي أخر وهذا بسبب محدودية تجربتها الاستثمارية، كما أن تعاملها مع البنوك المركزية وفق أحكام ومبادئ الشريعة الإسلامية لم يستقر بعد كما لا توجد أدوات مالية إسلامية منتشرة يتم التداول فيها في الأسواق المالية </w:t>
      </w:r>
      <w:r w:rsidR="00A30EDE">
        <w:rPr>
          <w:rFonts w:ascii="Traditional Arabic" w:hAnsi="Traditional Arabic" w:cs="Traditional Arabic" w:hint="cs"/>
          <w:sz w:val="28"/>
          <w:szCs w:val="28"/>
          <w:rtl/>
          <w:lang w:bidi="ar-DZ"/>
        </w:rPr>
        <w:t>المحلية والإقليمية والعالمية لتوظيف فائض السيولة.</w:t>
      </w:r>
      <w:r w:rsidR="00FA16B4">
        <w:rPr>
          <w:rFonts w:ascii="Traditional Arabic" w:hAnsi="Traditional Arabic" w:cs="Traditional Arabic" w:hint="cs"/>
          <w:sz w:val="28"/>
          <w:szCs w:val="28"/>
          <w:rtl/>
          <w:lang w:bidi="ar-DZ"/>
        </w:rPr>
        <w:t xml:space="preserve"> </w:t>
      </w:r>
    </w:p>
    <w:p w:rsidR="00A30EDE" w:rsidRDefault="00A30EDE"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من خلال ما سبق يمكن صياغة  الإشكالية كالتالي:</w:t>
      </w:r>
    </w:p>
    <w:p w:rsidR="00A30EDE" w:rsidRPr="00A30EDE" w:rsidRDefault="00A30EDE" w:rsidP="00B72D23">
      <w:pPr>
        <w:bidi/>
        <w:spacing w:line="240" w:lineRule="auto"/>
        <w:jc w:val="center"/>
        <w:rPr>
          <w:rFonts w:ascii="Traditional Arabic" w:hAnsi="Traditional Arabic" w:cs="Traditional Arabic"/>
          <w:b/>
          <w:bCs/>
          <w:sz w:val="28"/>
          <w:szCs w:val="28"/>
          <w:rtl/>
          <w:lang w:bidi="ar-DZ"/>
        </w:rPr>
      </w:pPr>
      <w:r w:rsidRPr="00A30EDE">
        <w:rPr>
          <w:rFonts w:ascii="Traditional Arabic" w:hAnsi="Traditional Arabic" w:cs="Traditional Arabic" w:hint="cs"/>
          <w:b/>
          <w:bCs/>
          <w:sz w:val="28"/>
          <w:szCs w:val="28"/>
          <w:rtl/>
          <w:lang w:bidi="ar-DZ"/>
        </w:rPr>
        <w:t>ما هو واقع إدارة السيولة في بنك دبي الإسلامي؟</w:t>
      </w:r>
    </w:p>
    <w:p w:rsidR="00B23742" w:rsidRPr="00A30EDE" w:rsidRDefault="00A30EDE" w:rsidP="00B72D23">
      <w:pPr>
        <w:bidi/>
        <w:spacing w:line="240" w:lineRule="auto"/>
        <w:rPr>
          <w:rFonts w:ascii="Traditional Arabic" w:hAnsi="Traditional Arabic" w:cs="Traditional Arabic"/>
          <w:sz w:val="28"/>
          <w:szCs w:val="28"/>
          <w:rtl/>
          <w:lang w:bidi="ar-DZ"/>
        </w:rPr>
      </w:pPr>
      <w:r w:rsidRPr="00A30EDE">
        <w:rPr>
          <w:rFonts w:ascii="Traditional Arabic" w:hAnsi="Traditional Arabic" w:cs="Traditional Arabic" w:hint="cs"/>
          <w:sz w:val="28"/>
          <w:szCs w:val="28"/>
          <w:rtl/>
          <w:lang w:bidi="ar-DZ"/>
        </w:rPr>
        <w:t>للإجابة على التساؤل السابق تم التطرق إلى</w:t>
      </w:r>
      <w:r>
        <w:rPr>
          <w:rFonts w:ascii="Traditional Arabic" w:hAnsi="Traditional Arabic" w:cs="Traditional Arabic" w:hint="cs"/>
          <w:sz w:val="28"/>
          <w:szCs w:val="28"/>
          <w:rtl/>
          <w:lang w:bidi="ar-DZ"/>
        </w:rPr>
        <w:t>:</w:t>
      </w:r>
      <w:r w:rsidRPr="00A30EDE">
        <w:rPr>
          <w:rFonts w:ascii="Traditional Arabic" w:hAnsi="Traditional Arabic" w:cs="Traditional Arabic" w:hint="cs"/>
          <w:sz w:val="28"/>
          <w:szCs w:val="28"/>
          <w:rtl/>
          <w:lang w:bidi="ar-DZ"/>
        </w:rPr>
        <w:t xml:space="preserve"> </w:t>
      </w:r>
    </w:p>
    <w:p w:rsidR="00A30EDE" w:rsidRPr="0072602E" w:rsidRDefault="00A30EDE" w:rsidP="00B72D23">
      <w:pPr>
        <w:bidi/>
        <w:spacing w:line="240" w:lineRule="auto"/>
        <w:rPr>
          <w:rFonts w:ascii="Traditional Arabic" w:hAnsi="Traditional Arabic" w:cs="Traditional Arabic"/>
          <w:b/>
          <w:bCs/>
          <w:sz w:val="28"/>
          <w:szCs w:val="28"/>
          <w:rtl/>
          <w:lang w:bidi="ar-DZ"/>
        </w:rPr>
      </w:pPr>
      <w:r w:rsidRPr="0072602E">
        <w:rPr>
          <w:rFonts w:ascii="Traditional Arabic" w:hAnsi="Traditional Arabic" w:cs="Traditional Arabic" w:hint="cs"/>
          <w:b/>
          <w:bCs/>
          <w:sz w:val="28"/>
          <w:szCs w:val="28"/>
          <w:rtl/>
          <w:lang w:bidi="ar-DZ"/>
        </w:rPr>
        <w:t>أولا: تقديم النظام المصرفي الإماراتي وبنك دبي الإسلامي</w:t>
      </w:r>
    </w:p>
    <w:p w:rsidR="00A30EDE" w:rsidRDefault="00A30EDE" w:rsidP="00B72D23">
      <w:pPr>
        <w:bidi/>
        <w:spacing w:line="240" w:lineRule="auto"/>
        <w:rPr>
          <w:rFonts w:ascii="Traditional Arabic" w:hAnsi="Traditional Arabic" w:cs="Traditional Arabic"/>
          <w:b/>
          <w:bCs/>
          <w:sz w:val="28"/>
          <w:szCs w:val="28"/>
          <w:rtl/>
          <w:lang w:bidi="ar-DZ"/>
        </w:rPr>
      </w:pPr>
      <w:r w:rsidRPr="00A27CA8">
        <w:rPr>
          <w:rFonts w:ascii="Traditional Arabic" w:hAnsi="Traditional Arabic" w:cs="Traditional Arabic" w:hint="cs"/>
          <w:b/>
          <w:bCs/>
          <w:sz w:val="28"/>
          <w:szCs w:val="28"/>
          <w:rtl/>
          <w:lang w:bidi="ar-DZ"/>
        </w:rPr>
        <w:t>ثانيا: واقع إدارة السيولة في بنك دبي الإسلامي</w:t>
      </w:r>
    </w:p>
    <w:p w:rsidR="00A30EDE" w:rsidRDefault="00A30EDE" w:rsidP="00B72D23">
      <w:pPr>
        <w:bidi/>
        <w:spacing w:line="240" w:lineRule="auto"/>
        <w:rPr>
          <w:rFonts w:ascii="Traditional Arabic" w:hAnsi="Traditional Arabic" w:cs="Traditional Arabic"/>
          <w:b/>
          <w:bCs/>
          <w:sz w:val="28"/>
          <w:szCs w:val="28"/>
          <w:rtl/>
          <w:lang w:bidi="ar-DZ"/>
        </w:rPr>
      </w:pPr>
    </w:p>
    <w:p w:rsidR="00957566" w:rsidRDefault="00957566" w:rsidP="00B72D23">
      <w:pPr>
        <w:bidi/>
        <w:spacing w:line="240" w:lineRule="auto"/>
        <w:rPr>
          <w:rFonts w:ascii="Traditional Arabic" w:hAnsi="Traditional Arabic" w:cs="Traditional Arabic"/>
          <w:b/>
          <w:bCs/>
          <w:sz w:val="28"/>
          <w:szCs w:val="28"/>
          <w:rtl/>
          <w:lang w:bidi="ar-DZ"/>
        </w:rPr>
      </w:pPr>
    </w:p>
    <w:p w:rsidR="00957566" w:rsidRDefault="00957566" w:rsidP="00B72D23">
      <w:pPr>
        <w:bidi/>
        <w:spacing w:line="240" w:lineRule="auto"/>
        <w:rPr>
          <w:rFonts w:ascii="Traditional Arabic" w:hAnsi="Traditional Arabic" w:cs="Traditional Arabic"/>
          <w:b/>
          <w:bCs/>
          <w:sz w:val="28"/>
          <w:szCs w:val="28"/>
          <w:rtl/>
          <w:lang w:bidi="ar-DZ"/>
        </w:rPr>
      </w:pPr>
    </w:p>
    <w:p w:rsidR="00957566" w:rsidRDefault="00957566" w:rsidP="00B72D23">
      <w:pPr>
        <w:bidi/>
        <w:spacing w:line="240" w:lineRule="auto"/>
        <w:jc w:val="center"/>
        <w:rPr>
          <w:rFonts w:ascii="Traditional Arabic" w:hAnsi="Traditional Arabic" w:cs="Traditional Arabic"/>
          <w:b/>
          <w:bCs/>
          <w:sz w:val="28"/>
          <w:szCs w:val="28"/>
          <w:rtl/>
          <w:lang w:bidi="ar-DZ"/>
        </w:rPr>
      </w:pPr>
    </w:p>
    <w:p w:rsidR="00B72D23" w:rsidRDefault="00B72D23" w:rsidP="00B72D23">
      <w:pPr>
        <w:bidi/>
        <w:spacing w:line="240" w:lineRule="auto"/>
        <w:jc w:val="center"/>
        <w:rPr>
          <w:rFonts w:ascii="Traditional Arabic" w:hAnsi="Traditional Arabic" w:cs="Traditional Arabic"/>
          <w:b/>
          <w:bCs/>
          <w:sz w:val="28"/>
          <w:szCs w:val="28"/>
          <w:rtl/>
          <w:lang w:bidi="ar-DZ"/>
        </w:rPr>
      </w:pPr>
    </w:p>
    <w:p w:rsidR="00CB755B" w:rsidRPr="005D2E56" w:rsidRDefault="0072602E" w:rsidP="00B72D23">
      <w:pPr>
        <w:bidi/>
        <w:spacing w:line="240" w:lineRule="auto"/>
        <w:jc w:val="center"/>
        <w:rPr>
          <w:rFonts w:ascii="Traditional Arabic" w:hAnsi="Traditional Arabic" w:cs="Traditional Arabic"/>
          <w:b/>
          <w:bCs/>
          <w:sz w:val="28"/>
          <w:szCs w:val="28"/>
          <w:rtl/>
          <w:lang w:bidi="ar-DZ"/>
        </w:rPr>
      </w:pPr>
      <w:r w:rsidRPr="005D2E56">
        <w:rPr>
          <w:rFonts w:ascii="Traditional Arabic" w:hAnsi="Traditional Arabic" w:cs="Traditional Arabic" w:hint="cs"/>
          <w:b/>
          <w:bCs/>
          <w:sz w:val="28"/>
          <w:szCs w:val="28"/>
          <w:rtl/>
          <w:lang w:bidi="ar-DZ"/>
        </w:rPr>
        <w:lastRenderedPageBreak/>
        <w:t>أولا: تقديم النظام المصرفي الإماراتي وبنك دبي الإسلامي</w:t>
      </w:r>
    </w:p>
    <w:p w:rsidR="0072602E" w:rsidRDefault="0072602E" w:rsidP="00B72D23">
      <w:pPr>
        <w:bidi/>
        <w:spacing w:line="240" w:lineRule="auto"/>
        <w:rPr>
          <w:rFonts w:ascii="Traditional Arabic" w:hAnsi="Traditional Arabic" w:cs="Traditional Arabic"/>
          <w:sz w:val="28"/>
          <w:szCs w:val="28"/>
          <w:rtl/>
          <w:lang w:bidi="ar-DZ"/>
        </w:rPr>
      </w:pPr>
      <w:r w:rsidRPr="0072602E">
        <w:rPr>
          <w:rFonts w:ascii="Traditional Arabic" w:hAnsi="Traditional Arabic" w:cs="Traditional Arabic" w:hint="cs"/>
          <w:b/>
          <w:bCs/>
          <w:sz w:val="28"/>
          <w:szCs w:val="28"/>
          <w:rtl/>
          <w:lang w:bidi="ar-DZ"/>
        </w:rPr>
        <w:t>1- القطاع المصرفي الإماراتي</w:t>
      </w:r>
      <w:r>
        <w:rPr>
          <w:rFonts w:ascii="Traditional Arabic" w:hAnsi="Traditional Arabic" w:cs="Traditional Arabic" w:hint="cs"/>
          <w:sz w:val="28"/>
          <w:szCs w:val="28"/>
          <w:rtl/>
          <w:lang w:bidi="ar-DZ"/>
        </w:rPr>
        <w:t xml:space="preserve">: استطاعت دولة </w:t>
      </w:r>
      <w:r w:rsidR="00EF6C17">
        <w:rPr>
          <w:rFonts w:ascii="Traditional Arabic" w:hAnsi="Traditional Arabic" w:cs="Traditional Arabic" w:hint="cs"/>
          <w:sz w:val="28"/>
          <w:szCs w:val="28"/>
          <w:rtl/>
          <w:lang w:bidi="ar-DZ"/>
        </w:rPr>
        <w:t>الإمارات</w:t>
      </w:r>
      <w:r>
        <w:rPr>
          <w:rFonts w:ascii="Traditional Arabic" w:hAnsi="Traditional Arabic" w:cs="Traditional Arabic" w:hint="cs"/>
          <w:sz w:val="28"/>
          <w:szCs w:val="28"/>
          <w:rtl/>
          <w:lang w:bidi="ar-DZ"/>
        </w:rPr>
        <w:t xml:space="preserve"> العربية المتحدة أن تخطوا خطوات واسعة نحو التقدم والرقي وحققت مكانة بارزة عالميا في شتى المجالات خاصة في مجال الصيرفة.</w:t>
      </w:r>
    </w:p>
    <w:p w:rsidR="0072602E" w:rsidRDefault="0072602E"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EF6C17">
        <w:rPr>
          <w:rFonts w:ascii="Traditional Arabic" w:hAnsi="Traditional Arabic" w:cs="Traditional Arabic" w:hint="cs"/>
          <w:sz w:val="28"/>
          <w:szCs w:val="28"/>
          <w:rtl/>
          <w:lang w:bidi="ar-DZ"/>
        </w:rPr>
        <w:t>إذ</w:t>
      </w:r>
      <w:r w:rsidR="00D313A7">
        <w:rPr>
          <w:rFonts w:ascii="Traditional Arabic" w:hAnsi="Traditional Arabic" w:cs="Traditional Arabic" w:hint="cs"/>
          <w:sz w:val="28"/>
          <w:szCs w:val="28"/>
          <w:rtl/>
          <w:lang w:bidi="ar-DZ"/>
        </w:rPr>
        <w:t xml:space="preserve"> يتواجد فيها اكبر عدد من البنوك الوطنية </w:t>
      </w:r>
      <w:r w:rsidR="00EF6C17">
        <w:rPr>
          <w:rFonts w:ascii="Traditional Arabic" w:hAnsi="Traditional Arabic" w:cs="Traditional Arabic" w:hint="cs"/>
          <w:sz w:val="28"/>
          <w:szCs w:val="28"/>
          <w:rtl/>
          <w:lang w:bidi="ar-DZ"/>
        </w:rPr>
        <w:t>والأجنبية</w:t>
      </w:r>
      <w:r w:rsidR="00D313A7">
        <w:rPr>
          <w:rFonts w:ascii="Traditional Arabic" w:hAnsi="Traditional Arabic" w:cs="Traditional Arabic" w:hint="cs"/>
          <w:sz w:val="28"/>
          <w:szCs w:val="28"/>
          <w:rtl/>
          <w:lang w:bidi="ar-DZ"/>
        </w:rPr>
        <w:t xml:space="preserve"> مقارنة مع باقي دول مجلس التعاون الخليجي، وهذا راجع إلى حرية الاستثمار في رأس المال الوطني </w:t>
      </w:r>
      <w:r w:rsidR="00EF6C17">
        <w:rPr>
          <w:rFonts w:ascii="Traditional Arabic" w:hAnsi="Traditional Arabic" w:cs="Traditional Arabic" w:hint="cs"/>
          <w:sz w:val="28"/>
          <w:szCs w:val="28"/>
          <w:rtl/>
          <w:lang w:bidi="ar-DZ"/>
        </w:rPr>
        <w:t>والأجنبي</w:t>
      </w:r>
      <w:r w:rsidR="00D313A7">
        <w:rPr>
          <w:rFonts w:ascii="Traditional Arabic" w:hAnsi="Traditional Arabic" w:cs="Traditional Arabic" w:hint="cs"/>
          <w:sz w:val="28"/>
          <w:szCs w:val="28"/>
          <w:rtl/>
          <w:lang w:bidi="ar-DZ"/>
        </w:rPr>
        <w:t xml:space="preserve">، كما يتوفر لدى دولة </w:t>
      </w:r>
      <w:r w:rsidR="00EF6C17">
        <w:rPr>
          <w:rFonts w:ascii="Traditional Arabic" w:hAnsi="Traditional Arabic" w:cs="Traditional Arabic" w:hint="cs"/>
          <w:sz w:val="28"/>
          <w:szCs w:val="28"/>
          <w:rtl/>
          <w:lang w:bidi="ar-DZ"/>
        </w:rPr>
        <w:t>الإمارات</w:t>
      </w:r>
      <w:r w:rsidR="00D313A7">
        <w:rPr>
          <w:rFonts w:ascii="Traditional Arabic" w:hAnsi="Traditional Arabic" w:cs="Traditional Arabic" w:hint="cs"/>
          <w:sz w:val="28"/>
          <w:szCs w:val="28"/>
          <w:rtl/>
          <w:lang w:bidi="ar-DZ"/>
        </w:rPr>
        <w:t xml:space="preserve"> أعلى معدلات الكثافة المصرفية مقارنة بدول مجلس التعاون الخليجي أيضا على مستوى الوطني العربي والدولي، إذ يبلغ معدل الكثافة المصرفية 2,41 لكل </w:t>
      </w:r>
      <w:r w:rsidR="00EF6C17">
        <w:rPr>
          <w:rFonts w:ascii="Traditional Arabic" w:hAnsi="Traditional Arabic" w:cs="Traditional Arabic" w:hint="cs"/>
          <w:sz w:val="28"/>
          <w:szCs w:val="28"/>
          <w:rtl/>
          <w:lang w:bidi="ar-DZ"/>
        </w:rPr>
        <w:t>ألف</w:t>
      </w:r>
      <w:r w:rsidR="00D313A7">
        <w:rPr>
          <w:rFonts w:ascii="Traditional Arabic" w:hAnsi="Traditional Arabic" w:cs="Traditional Arabic" w:hint="cs"/>
          <w:sz w:val="28"/>
          <w:szCs w:val="28"/>
          <w:rtl/>
          <w:lang w:bidi="ar-DZ"/>
        </w:rPr>
        <w:t xml:space="preserve"> نسمة من السكان.</w:t>
      </w:r>
    </w:p>
    <w:p w:rsidR="00D313A7" w:rsidRDefault="00D313A7" w:rsidP="00B72D23">
      <w:pPr>
        <w:bidi/>
        <w:spacing w:line="240" w:lineRule="auto"/>
        <w:rPr>
          <w:rFonts w:ascii="Traditional Arabic" w:hAnsi="Traditional Arabic" w:cs="Traditional Arabic"/>
          <w:sz w:val="28"/>
          <w:szCs w:val="28"/>
          <w:rtl/>
          <w:lang w:bidi="ar-DZ"/>
        </w:rPr>
      </w:pPr>
      <w:r w:rsidRPr="00D313A7">
        <w:rPr>
          <w:rFonts w:ascii="Traditional Arabic" w:hAnsi="Traditional Arabic" w:cs="Traditional Arabic" w:hint="cs"/>
          <w:b/>
          <w:bCs/>
          <w:sz w:val="28"/>
          <w:szCs w:val="28"/>
          <w:rtl/>
          <w:lang w:bidi="ar-DZ"/>
        </w:rPr>
        <w:t>أ- هيكل النظام المصرفي الإماراتي</w:t>
      </w:r>
      <w:r>
        <w:rPr>
          <w:rFonts w:ascii="Traditional Arabic" w:hAnsi="Traditional Arabic" w:cs="Traditional Arabic" w:hint="cs"/>
          <w:sz w:val="28"/>
          <w:szCs w:val="28"/>
          <w:rtl/>
          <w:lang w:bidi="ar-DZ"/>
        </w:rPr>
        <w:t xml:space="preserve">: </w:t>
      </w:r>
      <w:r w:rsidR="00EF6C17">
        <w:rPr>
          <w:rFonts w:ascii="Traditional Arabic" w:hAnsi="Traditional Arabic" w:cs="Traditional Arabic" w:hint="cs"/>
          <w:sz w:val="28"/>
          <w:szCs w:val="28"/>
          <w:rtl/>
          <w:lang w:bidi="ar-DZ"/>
        </w:rPr>
        <w:t xml:space="preserve"> </w:t>
      </w:r>
      <w:r w:rsidR="00957566">
        <w:rPr>
          <w:rFonts w:ascii="Traditional Arabic" w:hAnsi="Traditional Arabic" w:cs="Traditional Arabic" w:hint="cs"/>
          <w:sz w:val="28"/>
          <w:szCs w:val="28"/>
          <w:rtl/>
          <w:lang w:bidi="ar-DZ"/>
        </w:rPr>
        <w:t>إن</w:t>
      </w:r>
      <w:r w:rsidR="00EF6C17">
        <w:rPr>
          <w:rFonts w:ascii="Traditional Arabic" w:hAnsi="Traditional Arabic" w:cs="Traditional Arabic" w:hint="cs"/>
          <w:sz w:val="28"/>
          <w:szCs w:val="28"/>
          <w:rtl/>
          <w:lang w:bidi="ar-DZ"/>
        </w:rPr>
        <w:t xml:space="preserve"> لدولة الإمارات هيكل واسع وكبير من البنوك يتمثل في: </w:t>
      </w:r>
    </w:p>
    <w:p w:rsidR="00EF6C17" w:rsidRDefault="00EF6C17" w:rsidP="00B72D23">
      <w:pPr>
        <w:bidi/>
        <w:spacing w:line="240" w:lineRule="auto"/>
        <w:rPr>
          <w:rFonts w:ascii="Traditional Arabic" w:hAnsi="Traditional Arabic" w:cs="Traditional Arabic"/>
          <w:sz w:val="28"/>
          <w:szCs w:val="28"/>
          <w:vertAlign w:val="superscript"/>
          <w:rtl/>
          <w:lang w:bidi="ar-DZ"/>
        </w:rPr>
      </w:pPr>
      <w:r w:rsidRPr="00EF6C17">
        <w:rPr>
          <w:rFonts w:ascii="Traditional Arabic" w:hAnsi="Traditional Arabic" w:cs="Traditional Arabic" w:hint="cs"/>
          <w:b/>
          <w:bCs/>
          <w:sz w:val="28"/>
          <w:szCs w:val="28"/>
          <w:rtl/>
          <w:lang w:bidi="ar-DZ"/>
        </w:rPr>
        <w:t>- البنك المركزي الإماراتي</w:t>
      </w:r>
      <w:r>
        <w:rPr>
          <w:rFonts w:ascii="Traditional Arabic" w:hAnsi="Traditional Arabic" w:cs="Traditional Arabic" w:hint="cs"/>
          <w:sz w:val="28"/>
          <w:szCs w:val="28"/>
          <w:rtl/>
          <w:lang w:bidi="ar-DZ"/>
        </w:rPr>
        <w:t xml:space="preserve">: </w:t>
      </w:r>
      <w:r w:rsidR="00F430BE">
        <w:rPr>
          <w:rFonts w:ascii="Traditional Arabic" w:hAnsi="Traditional Arabic" w:cs="Traditional Arabic" w:hint="cs"/>
          <w:sz w:val="28"/>
          <w:szCs w:val="28"/>
          <w:rtl/>
          <w:lang w:bidi="ar-DZ"/>
        </w:rPr>
        <w:t xml:space="preserve">يعتبر السلطة النقدية في دولة </w:t>
      </w:r>
      <w:r w:rsidR="00EB4785">
        <w:rPr>
          <w:rFonts w:ascii="Traditional Arabic" w:hAnsi="Traditional Arabic" w:cs="Traditional Arabic" w:hint="cs"/>
          <w:sz w:val="28"/>
          <w:szCs w:val="28"/>
          <w:rtl/>
          <w:lang w:bidi="ar-DZ"/>
        </w:rPr>
        <w:t>الإمارات</w:t>
      </w:r>
      <w:r w:rsidR="00F430BE">
        <w:rPr>
          <w:rFonts w:ascii="Traditional Arabic" w:hAnsi="Traditional Arabic" w:cs="Traditional Arabic" w:hint="cs"/>
          <w:sz w:val="28"/>
          <w:szCs w:val="28"/>
          <w:rtl/>
          <w:lang w:bidi="ar-DZ"/>
        </w:rPr>
        <w:t xml:space="preserve">، وقد </w:t>
      </w:r>
      <w:r w:rsidR="00EB4785">
        <w:rPr>
          <w:rFonts w:ascii="Traditional Arabic" w:hAnsi="Traditional Arabic" w:cs="Traditional Arabic" w:hint="cs"/>
          <w:sz w:val="28"/>
          <w:szCs w:val="28"/>
          <w:rtl/>
          <w:lang w:bidi="ar-DZ"/>
        </w:rPr>
        <w:t>أنشئ</w:t>
      </w:r>
      <w:r w:rsidR="00F430BE">
        <w:rPr>
          <w:rFonts w:ascii="Traditional Arabic" w:hAnsi="Traditional Arabic" w:cs="Traditional Arabic" w:hint="cs"/>
          <w:sz w:val="28"/>
          <w:szCs w:val="28"/>
          <w:rtl/>
          <w:lang w:bidi="ar-DZ"/>
        </w:rPr>
        <w:t xml:space="preserve"> هذا البنك بموجب قانون رقم 01 سنة 1980، وذلك خلفا لمجلس النقد كمؤس</w:t>
      </w:r>
      <w:r w:rsidR="00EB4785">
        <w:rPr>
          <w:rFonts w:ascii="Traditional Arabic" w:hAnsi="Traditional Arabic" w:cs="Traditional Arabic" w:hint="cs"/>
          <w:sz w:val="28"/>
          <w:szCs w:val="28"/>
          <w:rtl/>
          <w:lang w:bidi="ar-DZ"/>
        </w:rPr>
        <w:t xml:space="preserve">سة عامة لها الشخصية الاعتبارية، وتتمتع بالأهمية القانونية اللازمة لمباشرة جميع الأعمال والتصرفات التي تكفل تحقيق الأغراض التي تقوم بها، كما يتولى البنك المركزي الإشراف </w:t>
      </w:r>
      <w:r w:rsidR="0044455C">
        <w:rPr>
          <w:rFonts w:ascii="Traditional Arabic" w:hAnsi="Traditional Arabic" w:cs="Traditional Arabic" w:hint="cs"/>
          <w:sz w:val="28"/>
          <w:szCs w:val="28"/>
          <w:rtl/>
          <w:lang w:bidi="ar-DZ"/>
        </w:rPr>
        <w:t xml:space="preserve">على نظام أسعار الصرف ويهدف دائما إلى الحفاظ على استقرار قيمة الدرهم أمام العملات الأجنبية. </w:t>
      </w:r>
      <w:r w:rsidR="00312980">
        <w:rPr>
          <w:rFonts w:ascii="Traditional Arabic" w:hAnsi="Traditional Arabic" w:cs="Traditional Arabic" w:hint="cs"/>
          <w:sz w:val="28"/>
          <w:szCs w:val="28"/>
          <w:rtl/>
          <w:lang w:bidi="ar-DZ"/>
        </w:rPr>
        <w:t>وفي إطار جهوده الرامية إلى المحافظة على قوة الدرهم وتحقيق استقراره فقد عمل البنك المركزي على تنمية موجوداته الأجنبية بنسبة كبيرة وذلك بهدف المحافظة على نسبة عالية من الغطاء النقدي والذي ارتفعت نسبته إلى 30,3</w:t>
      </w:r>
      <w:r w:rsidR="00312980">
        <w:rPr>
          <w:rFonts w:ascii="Traditional Arabic" w:hAnsi="Traditional Arabic" w:cs="Traditional Arabic"/>
          <w:sz w:val="28"/>
          <w:szCs w:val="28"/>
          <w:rtl/>
          <w:lang w:bidi="ar-DZ"/>
        </w:rPr>
        <w:t>%</w:t>
      </w:r>
      <w:r w:rsidR="00312980">
        <w:rPr>
          <w:rFonts w:ascii="Traditional Arabic" w:hAnsi="Traditional Arabic" w:cs="Traditional Arabic" w:hint="cs"/>
          <w:sz w:val="28"/>
          <w:szCs w:val="28"/>
          <w:rtl/>
          <w:lang w:bidi="ar-DZ"/>
        </w:rPr>
        <w:t xml:space="preserve"> في نهاية يوليو 1990، ولا شك أن هذه النسبة يقل وجودها حتى في الدول الصناعية الكبرى، وتجدر </w:t>
      </w:r>
      <w:r w:rsidR="005A6A06">
        <w:rPr>
          <w:rFonts w:ascii="Traditional Arabic" w:hAnsi="Traditional Arabic" w:cs="Traditional Arabic" w:hint="cs"/>
          <w:sz w:val="28"/>
          <w:szCs w:val="28"/>
          <w:rtl/>
          <w:lang w:bidi="ar-DZ"/>
        </w:rPr>
        <w:t>الإشارة</w:t>
      </w:r>
      <w:r w:rsidR="00312980">
        <w:rPr>
          <w:rFonts w:ascii="Traditional Arabic" w:hAnsi="Traditional Arabic" w:cs="Traditional Arabic" w:hint="cs"/>
          <w:sz w:val="28"/>
          <w:szCs w:val="28"/>
          <w:rtl/>
          <w:lang w:bidi="ar-DZ"/>
        </w:rPr>
        <w:t xml:space="preserve"> إلى أن قانون البنك المركزي قد اشترط أن لا تقل نسبة الغطاء النقدي 7</w:t>
      </w:r>
      <w:r w:rsidR="00312980">
        <w:rPr>
          <w:rFonts w:ascii="Traditional Arabic" w:hAnsi="Traditional Arabic" w:cs="Traditional Arabic"/>
          <w:sz w:val="28"/>
          <w:szCs w:val="28"/>
          <w:rtl/>
          <w:lang w:bidi="ar-DZ"/>
        </w:rPr>
        <w:t>%</w:t>
      </w:r>
      <w:r w:rsidR="00312980">
        <w:rPr>
          <w:rFonts w:ascii="Traditional Arabic" w:hAnsi="Traditional Arabic" w:cs="Traditional Arabic" w:hint="cs"/>
          <w:sz w:val="28"/>
          <w:szCs w:val="28"/>
          <w:rtl/>
          <w:lang w:bidi="ar-DZ"/>
        </w:rPr>
        <w:t xml:space="preserve"> من قيمة النقد المتداول والودائع تحت الطلب لديه، كما يقوم البنك بممارسة على الوظائف </w:t>
      </w:r>
      <w:r w:rsidR="005A6A06">
        <w:rPr>
          <w:rFonts w:ascii="Traditional Arabic" w:hAnsi="Traditional Arabic" w:cs="Traditional Arabic" w:hint="cs"/>
          <w:sz w:val="28"/>
          <w:szCs w:val="28"/>
          <w:rtl/>
          <w:lang w:bidi="ar-DZ"/>
        </w:rPr>
        <w:t>والأنشطة</w:t>
      </w:r>
      <w:r w:rsidR="00312980">
        <w:rPr>
          <w:rFonts w:ascii="Traditional Arabic" w:hAnsi="Traditional Arabic" w:cs="Traditional Arabic" w:hint="cs"/>
          <w:sz w:val="28"/>
          <w:szCs w:val="28"/>
          <w:rtl/>
          <w:lang w:bidi="ar-DZ"/>
        </w:rPr>
        <w:t xml:space="preserve"> التي بقوم بها العديد من البنوك المركزية العالمية، ضف إلى ذلك الإشراف على نظام وسطاء بيع وشراء الأسهم والسندات الرقابة على وحدات الصرافة وشركات الاستثمار العاملة بالدولة.</w:t>
      </w:r>
      <w:r w:rsidR="005A6A06">
        <w:rPr>
          <w:rFonts w:ascii="Traditional Arabic" w:hAnsi="Traditional Arabic" w:cs="Traditional Arabic" w:hint="cs"/>
          <w:sz w:val="28"/>
          <w:szCs w:val="28"/>
          <w:vertAlign w:val="superscript"/>
          <w:rtl/>
          <w:lang w:bidi="ar-DZ"/>
        </w:rPr>
        <w:t>(1)</w:t>
      </w:r>
    </w:p>
    <w:p w:rsidR="005A6A06" w:rsidRPr="001E6FB7" w:rsidRDefault="005A6A06" w:rsidP="00B72D23">
      <w:pPr>
        <w:bidi/>
        <w:spacing w:line="240" w:lineRule="auto"/>
        <w:rPr>
          <w:rFonts w:ascii="Traditional Arabic" w:hAnsi="Traditional Arabic" w:cs="Traditional Arabic"/>
          <w:sz w:val="28"/>
          <w:szCs w:val="28"/>
          <w:vertAlign w:val="superscript"/>
          <w:rtl/>
          <w:lang w:bidi="ar-DZ"/>
        </w:rPr>
      </w:pPr>
      <w:r w:rsidRPr="005A6A06">
        <w:rPr>
          <w:rFonts w:ascii="Traditional Arabic" w:hAnsi="Traditional Arabic" w:cs="Traditional Arabic" w:hint="cs"/>
          <w:b/>
          <w:bCs/>
          <w:sz w:val="28"/>
          <w:szCs w:val="28"/>
          <w:rtl/>
          <w:lang w:bidi="ar-DZ"/>
        </w:rPr>
        <w:t>- البنوك التقليدية</w:t>
      </w:r>
      <w:r>
        <w:rPr>
          <w:rFonts w:ascii="Traditional Arabic" w:hAnsi="Traditional Arabic" w:cs="Traditional Arabic" w:hint="cs"/>
          <w:sz w:val="28"/>
          <w:szCs w:val="28"/>
          <w:rtl/>
          <w:lang w:bidi="ar-DZ"/>
        </w:rPr>
        <w:t>: تنشط في دولة الإمارات</w:t>
      </w:r>
      <w:r w:rsidR="001E6FB7">
        <w:rPr>
          <w:rFonts w:ascii="Traditional Arabic" w:hAnsi="Traditional Arabic" w:cs="Traditional Arabic" w:hint="cs"/>
          <w:sz w:val="28"/>
          <w:szCs w:val="28"/>
          <w:rtl/>
          <w:lang w:bidi="ar-DZ"/>
        </w:rPr>
        <w:t xml:space="preserve"> العديد من البنوك الوطنية منها:</w:t>
      </w:r>
      <w:r w:rsidR="001E6FB7">
        <w:rPr>
          <w:rFonts w:ascii="Traditional Arabic" w:hAnsi="Traditional Arabic" w:cs="Traditional Arabic" w:hint="cs"/>
          <w:sz w:val="28"/>
          <w:szCs w:val="28"/>
          <w:vertAlign w:val="superscript"/>
          <w:rtl/>
          <w:lang w:bidi="ar-DZ"/>
        </w:rPr>
        <w:t>(2)</w:t>
      </w:r>
    </w:p>
    <w:p w:rsidR="005A6A06" w:rsidRPr="001D33C2" w:rsidRDefault="005A6A06"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بنك أبو ظبي الوطني</w:t>
      </w:r>
      <w:r w:rsidRPr="001D33C2">
        <w:rPr>
          <w:rFonts w:ascii="Traditional Arabic" w:hAnsi="Traditional Arabic" w:cs="Traditional Arabic" w:hint="cs"/>
          <w:sz w:val="28"/>
          <w:szCs w:val="28"/>
          <w:rtl/>
          <w:lang w:bidi="ar-DZ"/>
        </w:rPr>
        <w:t xml:space="preserve">: تأسس عام 1986، يوفر هذا البنك مجموعة كبيرة من المنتجات المصرفية وتوجد ليده شبكة كبيرة من الفروع داخل الدولة وخارجها، تصل هذه الفروع إلى أكثر من 120 فرعا، </w:t>
      </w:r>
      <w:r w:rsidR="0078385B" w:rsidRPr="001D33C2">
        <w:rPr>
          <w:rFonts w:ascii="Traditional Arabic" w:hAnsi="Traditional Arabic" w:cs="Traditional Arabic" w:hint="cs"/>
          <w:sz w:val="28"/>
          <w:szCs w:val="28"/>
          <w:rtl/>
          <w:lang w:bidi="ar-DZ"/>
        </w:rPr>
        <w:t>تتوزع على تراب الإمارات وفي كل من ( هونج كونج في أسيا، عمان، الكويت، البحرين، دول مجلس التعاون الخليجي، الأردن، مصر، السودان، ليبيا، إفريقيا، فرنسا، المملكة المتحدة، أوروبا، الو م أ).</w:t>
      </w:r>
    </w:p>
    <w:p w:rsidR="0078385B" w:rsidRPr="001D33C2" w:rsidRDefault="0078385B"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بنك أبو ظبي التجاري</w:t>
      </w:r>
      <w:r w:rsidRPr="001D33C2">
        <w:rPr>
          <w:rFonts w:ascii="Traditional Arabic" w:hAnsi="Traditional Arabic" w:cs="Traditional Arabic" w:hint="cs"/>
          <w:sz w:val="28"/>
          <w:szCs w:val="28"/>
          <w:rtl/>
          <w:lang w:bidi="ar-DZ"/>
        </w:rPr>
        <w:t>: تم تاسيسه عام 1985 مقره الرئيسي في أبو ظبي وهو ثالث اكبر بنك وطني، حيث تمتلك حكومة أبو ظبي 58,08</w:t>
      </w:r>
      <w:r w:rsidRPr="001D33C2">
        <w:rPr>
          <w:rFonts w:ascii="Traditional Arabic" w:hAnsi="Traditional Arabic" w:cs="Traditional Arabic"/>
          <w:sz w:val="28"/>
          <w:szCs w:val="28"/>
          <w:rtl/>
          <w:lang w:bidi="ar-DZ"/>
        </w:rPr>
        <w:t>%</w:t>
      </w:r>
      <w:r w:rsidRPr="001D33C2">
        <w:rPr>
          <w:rFonts w:ascii="Traditional Arabic" w:hAnsi="Traditional Arabic" w:cs="Traditional Arabic" w:hint="cs"/>
          <w:sz w:val="28"/>
          <w:szCs w:val="28"/>
          <w:rtl/>
          <w:lang w:bidi="ar-DZ"/>
        </w:rPr>
        <w:t xml:space="preserve"> من رأس مال البنك.</w:t>
      </w:r>
    </w:p>
    <w:p w:rsidR="0078385B" w:rsidRPr="001D33C2" w:rsidRDefault="0078385B"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بنك الخليج الأول</w:t>
      </w:r>
      <w:r w:rsidRPr="001D33C2">
        <w:rPr>
          <w:rFonts w:ascii="Traditional Arabic" w:hAnsi="Traditional Arabic" w:cs="Traditional Arabic" w:hint="cs"/>
          <w:sz w:val="28"/>
          <w:szCs w:val="28"/>
          <w:rtl/>
          <w:lang w:bidi="ar-DZ"/>
        </w:rPr>
        <w:t xml:space="preserve">: تأسس سنة 1979 في أبو ظبي يقدم خدماته في كافة أنحاء الدولة من خلال شبكة واسعة في دولة </w:t>
      </w:r>
      <w:r w:rsidR="00E82CF5" w:rsidRPr="001D33C2">
        <w:rPr>
          <w:rFonts w:ascii="Traditional Arabic" w:hAnsi="Traditional Arabic" w:cs="Traditional Arabic" w:hint="cs"/>
          <w:sz w:val="28"/>
          <w:szCs w:val="28"/>
          <w:rtl/>
          <w:lang w:bidi="ar-DZ"/>
        </w:rPr>
        <w:t>الإمارات</w:t>
      </w:r>
      <w:r w:rsidRPr="001D33C2">
        <w:rPr>
          <w:rFonts w:ascii="Traditional Arabic" w:hAnsi="Traditional Arabic" w:cs="Traditional Arabic" w:hint="cs"/>
          <w:sz w:val="28"/>
          <w:szCs w:val="28"/>
          <w:rtl/>
          <w:lang w:bidi="ar-DZ"/>
        </w:rPr>
        <w:t xml:space="preserve"> وخارجها، وحتى له فروع في سنغافورة.</w:t>
      </w:r>
    </w:p>
    <w:p w:rsidR="0078385B" w:rsidRPr="001D33C2" w:rsidRDefault="0078385B"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بنك الاتحاد الوطني</w:t>
      </w:r>
      <w:r w:rsidRPr="001D33C2">
        <w:rPr>
          <w:rFonts w:ascii="Traditional Arabic" w:hAnsi="Traditional Arabic" w:cs="Traditional Arabic" w:hint="cs"/>
          <w:sz w:val="28"/>
          <w:szCs w:val="28"/>
          <w:rtl/>
          <w:lang w:bidi="ar-DZ"/>
        </w:rPr>
        <w:t xml:space="preserve">: </w:t>
      </w:r>
      <w:r w:rsidR="0015102E" w:rsidRPr="001D33C2">
        <w:rPr>
          <w:rFonts w:ascii="Traditional Arabic" w:hAnsi="Traditional Arabic" w:cs="Traditional Arabic" w:hint="cs"/>
          <w:sz w:val="28"/>
          <w:szCs w:val="28"/>
          <w:rtl/>
          <w:lang w:bidi="ar-DZ"/>
        </w:rPr>
        <w:t xml:space="preserve">تأسس سنة 1982، ومقره الرئيسي أبو ظبي ودبي، ويعتبر من البنوك الكبرى في الدولة حيث يقدم خدمات متنوعة للأشخاص الطبيعيين </w:t>
      </w:r>
      <w:r w:rsidR="007E0877" w:rsidRPr="001D33C2">
        <w:rPr>
          <w:rFonts w:ascii="Traditional Arabic" w:hAnsi="Traditional Arabic" w:cs="Traditional Arabic" w:hint="cs"/>
          <w:sz w:val="28"/>
          <w:szCs w:val="28"/>
          <w:rtl/>
          <w:lang w:bidi="ar-DZ"/>
        </w:rPr>
        <w:t>والمعنويين.</w:t>
      </w:r>
    </w:p>
    <w:p w:rsidR="007E0877" w:rsidRPr="001D33C2" w:rsidRDefault="007E0877"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بنك دبي التجاري</w:t>
      </w:r>
      <w:r w:rsidRPr="001D33C2">
        <w:rPr>
          <w:rFonts w:ascii="Traditional Arabic" w:hAnsi="Traditional Arabic" w:cs="Traditional Arabic" w:hint="cs"/>
          <w:sz w:val="28"/>
          <w:szCs w:val="28"/>
          <w:rtl/>
          <w:lang w:bidi="ar-DZ"/>
        </w:rPr>
        <w:t>: تأسس عام 1969 ثم تحول عام 1982 إلى شركة مساهمة يقدم مجموعة من الخدمات إلى الأفراد والشركات في معظم القطاعات، وله 26 فرعا منتشرا في جميع أنحاء العالم.</w:t>
      </w:r>
    </w:p>
    <w:p w:rsidR="007E0877" w:rsidRPr="001D33C2" w:rsidRDefault="001D33C2" w:rsidP="00B72D23">
      <w:pPr>
        <w:pStyle w:val="ListParagraph"/>
        <w:numPr>
          <w:ilvl w:val="0"/>
          <w:numId w:val="3"/>
        </w:numPr>
        <w:bidi/>
        <w:spacing w:line="240" w:lineRule="auto"/>
        <w:ind w:left="282"/>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lastRenderedPageBreak/>
        <w:t>ب</w:t>
      </w:r>
      <w:r w:rsidR="007E0877" w:rsidRPr="001D33C2">
        <w:rPr>
          <w:rFonts w:ascii="Traditional Arabic" w:hAnsi="Traditional Arabic" w:cs="Traditional Arabic" w:hint="cs"/>
          <w:b/>
          <w:bCs/>
          <w:sz w:val="28"/>
          <w:szCs w:val="28"/>
          <w:rtl/>
          <w:lang w:bidi="ar-DZ"/>
        </w:rPr>
        <w:t>نك الشارقة</w:t>
      </w:r>
      <w:r w:rsidR="007E0877" w:rsidRPr="001D33C2">
        <w:rPr>
          <w:rFonts w:ascii="Traditional Arabic" w:hAnsi="Traditional Arabic" w:cs="Traditional Arabic" w:hint="cs"/>
          <w:sz w:val="28"/>
          <w:szCs w:val="28"/>
          <w:rtl/>
          <w:lang w:bidi="ar-DZ"/>
        </w:rPr>
        <w:t>: تم تأسيس هذا البنك عام 1973 وبدا نشاطه عام 1974 وهو يمارس العديد من الأنشطة المصرفية التجارية والاستثمارية.</w:t>
      </w:r>
    </w:p>
    <w:p w:rsidR="001D33C2" w:rsidRDefault="007E0877" w:rsidP="00B72D23">
      <w:pPr>
        <w:pStyle w:val="ListParagraph"/>
        <w:numPr>
          <w:ilvl w:val="0"/>
          <w:numId w:val="3"/>
        </w:numPr>
        <w:bidi/>
        <w:spacing w:line="240" w:lineRule="auto"/>
        <w:ind w:left="282"/>
        <w:rPr>
          <w:rFonts w:ascii="Traditional Arabic" w:hAnsi="Traditional Arabic" w:cs="Traditional Arabic"/>
          <w:sz w:val="28"/>
          <w:szCs w:val="28"/>
          <w:lang w:bidi="ar-DZ"/>
        </w:rPr>
      </w:pPr>
      <w:r w:rsidRPr="001D33C2">
        <w:rPr>
          <w:rFonts w:ascii="Traditional Arabic" w:hAnsi="Traditional Arabic" w:cs="Traditional Arabic" w:hint="cs"/>
          <w:b/>
          <w:bCs/>
          <w:sz w:val="28"/>
          <w:szCs w:val="28"/>
          <w:rtl/>
          <w:lang w:bidi="ar-DZ"/>
        </w:rPr>
        <w:t>الإمارات دبي الوطني</w:t>
      </w:r>
      <w:r w:rsidRPr="001D33C2">
        <w:rPr>
          <w:rFonts w:ascii="Traditional Arabic" w:hAnsi="Traditional Arabic" w:cs="Traditional Arabic" w:hint="cs"/>
          <w:sz w:val="28"/>
          <w:szCs w:val="28"/>
          <w:rtl/>
          <w:lang w:bidi="ar-DZ"/>
        </w:rPr>
        <w:t xml:space="preserve">: تأسس بعد اندماج كل من بنك </w:t>
      </w:r>
      <w:r w:rsidR="00702D41" w:rsidRPr="001D33C2">
        <w:rPr>
          <w:rFonts w:ascii="Traditional Arabic" w:hAnsi="Traditional Arabic" w:cs="Traditional Arabic" w:hint="cs"/>
          <w:sz w:val="28"/>
          <w:szCs w:val="28"/>
          <w:rtl/>
          <w:lang w:bidi="ar-DZ"/>
        </w:rPr>
        <w:t>الامارات ودبي الوطني عام 2007، ويقدم مجموعة من الخدمات المصرفية للشركات والأفراد داخل الدولة وخارجها وتصل فروعه إلى أكثر من 260 فرعا حول العالم</w:t>
      </w:r>
      <w:r w:rsidR="001E6FB7" w:rsidRPr="001D33C2">
        <w:rPr>
          <w:rFonts w:ascii="Traditional Arabic" w:hAnsi="Traditional Arabic" w:cs="Traditional Arabic" w:hint="cs"/>
          <w:sz w:val="28"/>
          <w:szCs w:val="28"/>
          <w:rtl/>
          <w:lang w:bidi="ar-DZ"/>
        </w:rPr>
        <w:t>.</w:t>
      </w:r>
    </w:p>
    <w:p w:rsidR="001E6FB7" w:rsidRPr="001D33C2" w:rsidRDefault="001E6FB7" w:rsidP="00B72D23">
      <w:pPr>
        <w:bidi/>
        <w:spacing w:line="240" w:lineRule="auto"/>
        <w:ind w:left="-78"/>
        <w:rPr>
          <w:rFonts w:ascii="Traditional Arabic" w:hAnsi="Traditional Arabic" w:cs="Traditional Arabic"/>
          <w:sz w:val="28"/>
          <w:szCs w:val="28"/>
          <w:rtl/>
          <w:lang w:bidi="ar-DZ"/>
        </w:rPr>
      </w:pPr>
      <w:r w:rsidRPr="001D33C2">
        <w:rPr>
          <w:rFonts w:ascii="Traditional Arabic" w:hAnsi="Traditional Arabic" w:cs="Traditional Arabic" w:hint="cs"/>
          <w:b/>
          <w:bCs/>
          <w:sz w:val="28"/>
          <w:szCs w:val="28"/>
          <w:rtl/>
          <w:lang w:bidi="ar-DZ"/>
        </w:rPr>
        <w:t>- البنوك الإسلامية</w:t>
      </w:r>
      <w:r w:rsidRPr="001D33C2">
        <w:rPr>
          <w:rFonts w:ascii="Traditional Arabic" w:hAnsi="Traditional Arabic" w:cs="Traditional Arabic" w:hint="cs"/>
          <w:sz w:val="28"/>
          <w:szCs w:val="28"/>
          <w:rtl/>
          <w:lang w:bidi="ar-DZ"/>
        </w:rPr>
        <w:t xml:space="preserve">: </w:t>
      </w:r>
      <w:r w:rsidR="00187482" w:rsidRPr="001D33C2">
        <w:rPr>
          <w:rFonts w:ascii="Traditional Arabic" w:hAnsi="Traditional Arabic" w:cs="Traditional Arabic" w:hint="cs"/>
          <w:sz w:val="28"/>
          <w:szCs w:val="28"/>
          <w:rtl/>
          <w:lang w:bidi="ar-DZ"/>
        </w:rPr>
        <w:t>توجد عدة بنوك إسلامية في دولة الامارات نذكر منها:</w:t>
      </w:r>
      <w:r w:rsidR="001A410F" w:rsidRPr="001D33C2">
        <w:rPr>
          <w:rFonts w:ascii="Traditional Arabic" w:hAnsi="Traditional Arabic" w:cs="Traditional Arabic" w:hint="cs"/>
          <w:sz w:val="28"/>
          <w:szCs w:val="28"/>
          <w:vertAlign w:val="superscript"/>
          <w:rtl/>
          <w:lang w:bidi="ar-DZ"/>
        </w:rPr>
        <w:t>(3)</w:t>
      </w:r>
    </w:p>
    <w:p w:rsidR="00187482" w:rsidRPr="001D33C2" w:rsidRDefault="00187482" w:rsidP="00B72D23">
      <w:pPr>
        <w:pStyle w:val="ListParagraph"/>
        <w:numPr>
          <w:ilvl w:val="0"/>
          <w:numId w:val="4"/>
        </w:numPr>
        <w:bidi/>
        <w:spacing w:line="240" w:lineRule="auto"/>
        <w:rPr>
          <w:rFonts w:ascii="Traditional Arabic" w:hAnsi="Traditional Arabic" w:cs="Traditional Arabic"/>
          <w:sz w:val="28"/>
          <w:szCs w:val="28"/>
          <w:rtl/>
          <w:lang w:bidi="ar-DZ"/>
        </w:rPr>
      </w:pPr>
      <w:r w:rsidRPr="001D33C2">
        <w:rPr>
          <w:rFonts w:ascii="Traditional Arabic" w:hAnsi="Traditional Arabic" w:cs="Traditional Arabic" w:hint="cs"/>
          <w:sz w:val="28"/>
          <w:szCs w:val="28"/>
          <w:rtl/>
          <w:lang w:bidi="ar-DZ"/>
        </w:rPr>
        <w:t>بنك دبي الإسلامي: الذي اعتبر أول بنك اسلامي في منطقة الخليج عام 1975.</w:t>
      </w:r>
    </w:p>
    <w:p w:rsidR="00187482" w:rsidRPr="001D33C2" w:rsidRDefault="00187482" w:rsidP="00B72D23">
      <w:pPr>
        <w:pStyle w:val="ListParagraph"/>
        <w:numPr>
          <w:ilvl w:val="0"/>
          <w:numId w:val="4"/>
        </w:numPr>
        <w:bidi/>
        <w:spacing w:line="240" w:lineRule="auto"/>
        <w:rPr>
          <w:rFonts w:ascii="Traditional Arabic" w:hAnsi="Traditional Arabic" w:cs="Traditional Arabic"/>
          <w:sz w:val="28"/>
          <w:szCs w:val="28"/>
          <w:rtl/>
          <w:lang w:bidi="ar-DZ"/>
        </w:rPr>
      </w:pPr>
      <w:r w:rsidRPr="001D33C2">
        <w:rPr>
          <w:rFonts w:ascii="Traditional Arabic" w:hAnsi="Traditional Arabic" w:cs="Traditional Arabic" w:hint="cs"/>
          <w:sz w:val="28"/>
          <w:szCs w:val="28"/>
          <w:rtl/>
          <w:lang w:bidi="ar-DZ"/>
        </w:rPr>
        <w:t>بنك أبو ظبي الإسلامي: تأسس عام 1988.</w:t>
      </w:r>
    </w:p>
    <w:p w:rsidR="00187482" w:rsidRPr="001D33C2" w:rsidRDefault="00187482" w:rsidP="00B72D23">
      <w:pPr>
        <w:pStyle w:val="ListParagraph"/>
        <w:numPr>
          <w:ilvl w:val="0"/>
          <w:numId w:val="4"/>
        </w:numPr>
        <w:bidi/>
        <w:spacing w:line="240" w:lineRule="auto"/>
        <w:rPr>
          <w:rFonts w:ascii="Traditional Arabic" w:hAnsi="Traditional Arabic" w:cs="Traditional Arabic"/>
          <w:sz w:val="28"/>
          <w:szCs w:val="28"/>
          <w:rtl/>
          <w:lang w:bidi="ar-DZ"/>
        </w:rPr>
      </w:pPr>
      <w:r w:rsidRPr="001D33C2">
        <w:rPr>
          <w:rFonts w:ascii="Traditional Arabic" w:hAnsi="Traditional Arabic" w:cs="Traditional Arabic" w:hint="cs"/>
          <w:sz w:val="28"/>
          <w:szCs w:val="28"/>
          <w:rtl/>
          <w:lang w:bidi="ar-DZ"/>
        </w:rPr>
        <w:t xml:space="preserve">مصرف الشارقة الإسلامي المتواجد في </w:t>
      </w:r>
      <w:r w:rsidR="001A410F" w:rsidRPr="001D33C2">
        <w:rPr>
          <w:rFonts w:ascii="Traditional Arabic" w:hAnsi="Traditional Arabic" w:cs="Traditional Arabic" w:hint="cs"/>
          <w:sz w:val="28"/>
          <w:szCs w:val="28"/>
          <w:rtl/>
          <w:lang w:bidi="ar-DZ"/>
        </w:rPr>
        <w:t>إمارات</w:t>
      </w:r>
      <w:r w:rsidRPr="001D33C2">
        <w:rPr>
          <w:rFonts w:ascii="Traditional Arabic" w:hAnsi="Traditional Arabic" w:cs="Traditional Arabic" w:hint="cs"/>
          <w:sz w:val="28"/>
          <w:szCs w:val="28"/>
          <w:rtl/>
          <w:lang w:bidi="ar-DZ"/>
        </w:rPr>
        <w:t xml:space="preserve"> الشارقة تأسس عام 2002.</w:t>
      </w:r>
    </w:p>
    <w:p w:rsidR="00187482" w:rsidRPr="001D33C2" w:rsidRDefault="00187482" w:rsidP="00B72D23">
      <w:pPr>
        <w:pStyle w:val="ListParagraph"/>
        <w:numPr>
          <w:ilvl w:val="0"/>
          <w:numId w:val="4"/>
        </w:numPr>
        <w:bidi/>
        <w:spacing w:line="240" w:lineRule="auto"/>
        <w:rPr>
          <w:rFonts w:ascii="Traditional Arabic" w:hAnsi="Traditional Arabic" w:cs="Traditional Arabic"/>
          <w:sz w:val="28"/>
          <w:szCs w:val="28"/>
          <w:rtl/>
          <w:lang w:bidi="ar-DZ"/>
        </w:rPr>
      </w:pPr>
      <w:r w:rsidRPr="001D33C2">
        <w:rPr>
          <w:rFonts w:ascii="Traditional Arabic" w:hAnsi="Traditional Arabic" w:cs="Traditional Arabic" w:hint="cs"/>
          <w:sz w:val="28"/>
          <w:szCs w:val="28"/>
          <w:rtl/>
          <w:lang w:bidi="ar-DZ"/>
        </w:rPr>
        <w:t xml:space="preserve">بنك </w:t>
      </w:r>
      <w:r w:rsidR="001A410F" w:rsidRPr="001D33C2">
        <w:rPr>
          <w:rFonts w:ascii="Traditional Arabic" w:hAnsi="Traditional Arabic" w:cs="Traditional Arabic" w:hint="cs"/>
          <w:sz w:val="28"/>
          <w:szCs w:val="28"/>
          <w:rtl/>
          <w:lang w:bidi="ar-DZ"/>
        </w:rPr>
        <w:t>الإمارات</w:t>
      </w:r>
      <w:r w:rsidRPr="001D33C2">
        <w:rPr>
          <w:rFonts w:ascii="Traditional Arabic" w:hAnsi="Traditional Arabic" w:cs="Traditional Arabic" w:hint="cs"/>
          <w:sz w:val="28"/>
          <w:szCs w:val="28"/>
          <w:rtl/>
          <w:lang w:bidi="ar-DZ"/>
        </w:rPr>
        <w:t xml:space="preserve"> الإسلامي تأسس عام 2004.</w:t>
      </w:r>
    </w:p>
    <w:p w:rsidR="00187482" w:rsidRPr="001D33C2" w:rsidRDefault="001A410F" w:rsidP="00B72D23">
      <w:pPr>
        <w:pStyle w:val="ListParagraph"/>
        <w:numPr>
          <w:ilvl w:val="0"/>
          <w:numId w:val="4"/>
        </w:numPr>
        <w:bidi/>
        <w:spacing w:line="240" w:lineRule="auto"/>
        <w:rPr>
          <w:rFonts w:ascii="Traditional Arabic" w:hAnsi="Traditional Arabic" w:cs="Traditional Arabic"/>
          <w:sz w:val="28"/>
          <w:szCs w:val="28"/>
          <w:rtl/>
          <w:lang w:bidi="ar-DZ"/>
        </w:rPr>
      </w:pPr>
      <w:r w:rsidRPr="001D33C2">
        <w:rPr>
          <w:rFonts w:ascii="Traditional Arabic" w:hAnsi="Traditional Arabic" w:cs="Traditional Arabic" w:hint="cs"/>
          <w:sz w:val="28"/>
          <w:szCs w:val="28"/>
          <w:rtl/>
          <w:lang w:bidi="ar-DZ"/>
        </w:rPr>
        <w:t>بنك نور الإسلامي الذي تأسس عام 2007.</w:t>
      </w:r>
    </w:p>
    <w:p w:rsidR="001A410F" w:rsidRDefault="001A410F" w:rsidP="00B72D23">
      <w:pPr>
        <w:bidi/>
        <w:spacing w:line="240" w:lineRule="auto"/>
        <w:rPr>
          <w:rFonts w:ascii="Traditional Arabic" w:hAnsi="Traditional Arabic" w:cs="Traditional Arabic"/>
          <w:sz w:val="28"/>
          <w:szCs w:val="28"/>
          <w:rtl/>
          <w:lang w:bidi="ar-DZ"/>
        </w:rPr>
      </w:pPr>
      <w:r w:rsidRPr="001A410F">
        <w:rPr>
          <w:rFonts w:ascii="Traditional Arabic" w:hAnsi="Traditional Arabic" w:cs="Traditional Arabic" w:hint="cs"/>
          <w:b/>
          <w:bCs/>
          <w:sz w:val="28"/>
          <w:szCs w:val="28"/>
          <w:rtl/>
          <w:lang w:bidi="ar-DZ"/>
        </w:rPr>
        <w:t>ب- صدارة القطاع البنكي الإماراتي عربيا وعالميا</w:t>
      </w:r>
      <w:r w:rsidR="00BB3A36">
        <w:rPr>
          <w:rFonts w:ascii="Traditional Arabic" w:hAnsi="Traditional Arabic" w:cs="Traditional Arabic" w:hint="cs"/>
          <w:sz w:val="28"/>
          <w:szCs w:val="28"/>
          <w:rtl/>
          <w:lang w:bidi="ar-DZ"/>
        </w:rPr>
        <w:t xml:space="preserve">: إن دولة </w:t>
      </w:r>
      <w:r w:rsidR="00542AEB">
        <w:rPr>
          <w:rFonts w:ascii="Traditional Arabic" w:hAnsi="Traditional Arabic" w:cs="Traditional Arabic" w:hint="cs"/>
          <w:sz w:val="28"/>
          <w:szCs w:val="28"/>
          <w:rtl/>
          <w:lang w:bidi="ar-DZ"/>
        </w:rPr>
        <w:t>الإمارات</w:t>
      </w:r>
      <w:r w:rsidR="00BB3A36">
        <w:rPr>
          <w:rFonts w:ascii="Traditional Arabic" w:hAnsi="Traditional Arabic" w:cs="Traditional Arabic" w:hint="cs"/>
          <w:sz w:val="28"/>
          <w:szCs w:val="28"/>
          <w:rtl/>
          <w:lang w:bidi="ar-DZ"/>
        </w:rPr>
        <w:t xml:space="preserve"> العربية المتحدة تتبنى سياسة نقدية وائتمانية متحررة تتلاءم مع النظام الاقتصادي الحر المتبع ومع أهداف السياسة الاقتصادية العامة، وتهدف السياسة النقدية إلى المحافظة على قوة ومعدل صرف الدرهم مقابل العملات الأجنبية، كما تهدف إلى تنظيم القطاع البنكي لرفع كفاءة </w:t>
      </w:r>
      <w:r w:rsidR="00542AEB">
        <w:rPr>
          <w:rFonts w:ascii="Traditional Arabic" w:hAnsi="Traditional Arabic" w:cs="Traditional Arabic" w:hint="cs"/>
          <w:sz w:val="28"/>
          <w:szCs w:val="28"/>
          <w:rtl/>
          <w:lang w:bidi="ar-DZ"/>
        </w:rPr>
        <w:t>أدائه</w:t>
      </w:r>
      <w:r w:rsidR="00BB3A36">
        <w:rPr>
          <w:rFonts w:ascii="Traditional Arabic" w:hAnsi="Traditional Arabic" w:cs="Traditional Arabic" w:hint="cs"/>
          <w:sz w:val="28"/>
          <w:szCs w:val="28"/>
          <w:rtl/>
          <w:lang w:bidi="ar-DZ"/>
        </w:rPr>
        <w:t xml:space="preserve"> من خلال الأنظمة والقوانين المحددة لنسبة الاحتياطي النقدي وأسعار الفائدة ونسبة الائتمان، لذلك فقد تمكنت من إيجاد قطاع بنكي متطور يحافظ على التوازن الاقتصادي في الأسواق الوطنية من خلال تنظيم السيولة المحلية ويتماشى مع النظام البنكي الدولي المتقدم،</w:t>
      </w:r>
      <w:r w:rsidR="00542AEB">
        <w:rPr>
          <w:rFonts w:ascii="Traditional Arabic" w:hAnsi="Traditional Arabic" w:cs="Traditional Arabic" w:hint="cs"/>
          <w:sz w:val="28"/>
          <w:szCs w:val="28"/>
          <w:vertAlign w:val="superscript"/>
          <w:rtl/>
          <w:lang w:bidi="ar-DZ"/>
        </w:rPr>
        <w:t>(4)</w:t>
      </w:r>
      <w:r w:rsidR="00BB3A36">
        <w:rPr>
          <w:rFonts w:ascii="Traditional Arabic" w:hAnsi="Traditional Arabic" w:cs="Traditional Arabic" w:hint="cs"/>
          <w:sz w:val="28"/>
          <w:szCs w:val="28"/>
          <w:rtl/>
          <w:lang w:bidi="ar-DZ"/>
        </w:rPr>
        <w:t xml:space="preserve"> </w:t>
      </w:r>
      <w:r w:rsidR="00542AEB">
        <w:rPr>
          <w:rFonts w:ascii="Traditional Arabic" w:hAnsi="Traditional Arabic" w:cs="Traditional Arabic" w:hint="cs"/>
          <w:sz w:val="28"/>
          <w:szCs w:val="28"/>
          <w:rtl/>
          <w:lang w:bidi="ar-DZ"/>
        </w:rPr>
        <w:t xml:space="preserve">ويظهر هذا القطاع البنكي المتطور لديها من خلال صدارته وانجازاته المتمثلة بعضها في: </w:t>
      </w:r>
    </w:p>
    <w:p w:rsidR="00542AEB" w:rsidRDefault="00542AE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تمكن القطاع البنكي في دولة الإمارات والذي يعد الأكبر عربيا بأصول تتجاوز 1,66 تريليون درهم من إثبات قدرته الفائقة على الصمود في مواجهة الأزمة المالية العالمية، حيث أظهرت اختبارات التحمل والقدرة التي أجريت على البنوك العاملة في الدولة خلال الفترات الماضية مستوى عال من المتانة التي تتمتع بها هذه البنوك، مما يعبر عن سلامة القطاع البنكي ونجاحه في دعم الاقتصاد الوطني واستقرارا النقد الأمر الذي انعكس على ترتيب الإمارات بين التصفيات العالمية من حيث المؤشرات.</w:t>
      </w:r>
    </w:p>
    <w:p w:rsidR="00542AEB" w:rsidRDefault="00542AE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8766BB">
        <w:rPr>
          <w:rFonts w:ascii="Traditional Arabic" w:hAnsi="Traditional Arabic" w:cs="Traditional Arabic" w:hint="cs"/>
          <w:sz w:val="28"/>
          <w:szCs w:val="28"/>
          <w:rtl/>
          <w:lang w:bidi="ar-DZ"/>
        </w:rPr>
        <w:t>أكد</w:t>
      </w:r>
      <w:r>
        <w:rPr>
          <w:rFonts w:ascii="Traditional Arabic" w:hAnsi="Traditional Arabic" w:cs="Traditional Arabic" w:hint="cs"/>
          <w:sz w:val="28"/>
          <w:szCs w:val="28"/>
          <w:rtl/>
          <w:lang w:bidi="ar-DZ"/>
        </w:rPr>
        <w:t xml:space="preserve"> محافظ البنك المركزي </w:t>
      </w:r>
      <w:r w:rsidR="008766BB">
        <w:rPr>
          <w:rFonts w:ascii="Traditional Arabic" w:hAnsi="Traditional Arabic" w:cs="Traditional Arabic" w:hint="cs"/>
          <w:sz w:val="28"/>
          <w:szCs w:val="28"/>
          <w:rtl/>
          <w:lang w:bidi="ar-DZ"/>
        </w:rPr>
        <w:t>الإماراتي</w:t>
      </w:r>
      <w:r>
        <w:rPr>
          <w:rFonts w:ascii="Traditional Arabic" w:hAnsi="Traditional Arabic" w:cs="Traditional Arabic" w:hint="cs"/>
          <w:sz w:val="28"/>
          <w:szCs w:val="28"/>
          <w:rtl/>
          <w:lang w:bidi="ar-DZ"/>
        </w:rPr>
        <w:t xml:space="preserve"> على متانة البنوك العاملة في الدولة لافتا إلى أن القطاع البنكي </w:t>
      </w:r>
      <w:r w:rsidR="008766BB">
        <w:rPr>
          <w:rFonts w:ascii="Traditional Arabic" w:hAnsi="Traditional Arabic" w:cs="Traditional Arabic" w:hint="cs"/>
          <w:sz w:val="28"/>
          <w:szCs w:val="28"/>
          <w:rtl/>
          <w:lang w:bidi="ar-DZ"/>
        </w:rPr>
        <w:t>الإماراتي</w:t>
      </w:r>
      <w:r>
        <w:rPr>
          <w:rFonts w:ascii="Traditional Arabic" w:hAnsi="Traditional Arabic" w:cs="Traditional Arabic" w:hint="cs"/>
          <w:sz w:val="28"/>
          <w:szCs w:val="28"/>
          <w:rtl/>
          <w:lang w:bidi="ar-DZ"/>
        </w:rPr>
        <w:t xml:space="preserve"> يأتي في الشريحة الأولى عالميا من حيث رؤوس الأموال </w:t>
      </w:r>
      <w:r w:rsidR="008766BB">
        <w:rPr>
          <w:rFonts w:ascii="Traditional Arabic" w:hAnsi="Traditional Arabic" w:cs="Traditional Arabic" w:hint="cs"/>
          <w:sz w:val="28"/>
          <w:szCs w:val="28"/>
          <w:rtl/>
          <w:lang w:bidi="ar-DZ"/>
        </w:rPr>
        <w:t>الأساسية التي تمثل الشق الأول من رأس المال وبان الرقابة المصرفية في الدولة تتماشى مع أفضل الممارسات العالمية وفقا للاتفاقيات الدولية التي وضعتها الدولة وعلى رأسها اتفاقيات بازل (02)، (03).</w:t>
      </w:r>
    </w:p>
    <w:p w:rsidR="008766BB" w:rsidRPr="00EC74D4" w:rsidRDefault="008766BB" w:rsidP="00B72D23">
      <w:pPr>
        <w:bidi/>
        <w:spacing w:line="240" w:lineRule="auto"/>
        <w:rPr>
          <w:rFonts w:ascii="Traditional Arabic" w:hAnsi="Traditional Arabic" w:cs="Traditional Arabic"/>
          <w:sz w:val="28"/>
          <w:szCs w:val="28"/>
          <w:vertAlign w:val="superscript"/>
          <w:rtl/>
          <w:lang w:bidi="ar-DZ"/>
        </w:rPr>
      </w:pPr>
      <w:r>
        <w:rPr>
          <w:rFonts w:ascii="Traditional Arabic" w:hAnsi="Traditional Arabic" w:cs="Traditional Arabic" w:hint="cs"/>
          <w:sz w:val="28"/>
          <w:szCs w:val="28"/>
          <w:rtl/>
          <w:lang w:bidi="ar-DZ"/>
        </w:rPr>
        <w:t xml:space="preserve">- قدرة البنك المركزي والحكومة في السيطرة على </w:t>
      </w:r>
      <w:r w:rsidR="00A30EDE">
        <w:rPr>
          <w:rFonts w:ascii="Traditional Arabic" w:hAnsi="Traditional Arabic" w:cs="Traditional Arabic" w:hint="cs"/>
          <w:sz w:val="28"/>
          <w:szCs w:val="28"/>
          <w:rtl/>
          <w:lang w:bidi="ar-DZ"/>
        </w:rPr>
        <w:t>أزمة</w:t>
      </w:r>
      <w:r>
        <w:rPr>
          <w:rFonts w:ascii="Traditional Arabic" w:hAnsi="Traditional Arabic" w:cs="Traditional Arabic" w:hint="cs"/>
          <w:sz w:val="28"/>
          <w:szCs w:val="28"/>
          <w:rtl/>
          <w:lang w:bidi="ar-DZ"/>
        </w:rPr>
        <w:t xml:space="preserve"> السيولة في دولة </w:t>
      </w:r>
      <w:r w:rsidR="009419F0">
        <w:rPr>
          <w:rFonts w:ascii="Traditional Arabic" w:hAnsi="Traditional Arabic" w:cs="Traditional Arabic" w:hint="cs"/>
          <w:sz w:val="28"/>
          <w:szCs w:val="28"/>
          <w:rtl/>
          <w:lang w:bidi="ar-DZ"/>
        </w:rPr>
        <w:t>الإمارات</w:t>
      </w:r>
      <w:r>
        <w:rPr>
          <w:rFonts w:ascii="Traditional Arabic" w:hAnsi="Traditional Arabic" w:cs="Traditional Arabic" w:hint="cs"/>
          <w:sz w:val="28"/>
          <w:szCs w:val="28"/>
          <w:rtl/>
          <w:lang w:bidi="ar-DZ"/>
        </w:rPr>
        <w:t xml:space="preserve"> سنة 2008 وهذا بمعالجتها منذ بدء ظهورها، وعلاجها تم عن طريق تنفيذ عدد من التدابير لضخ ال</w:t>
      </w:r>
      <w:r w:rsidR="00EC74D4">
        <w:rPr>
          <w:rFonts w:ascii="Traditional Arabic" w:hAnsi="Traditional Arabic" w:cs="Traditional Arabic" w:hint="cs"/>
          <w:sz w:val="28"/>
          <w:szCs w:val="28"/>
          <w:rtl/>
          <w:lang w:bidi="ar-DZ"/>
        </w:rPr>
        <w:t>سيولة وتعزيز ثقة الجهاز المصرفي، واهم هذه التدابير:</w:t>
      </w:r>
      <w:r w:rsidR="00EC74D4">
        <w:rPr>
          <w:rFonts w:ascii="Traditional Arabic" w:hAnsi="Traditional Arabic" w:cs="Traditional Arabic" w:hint="cs"/>
          <w:sz w:val="28"/>
          <w:szCs w:val="28"/>
          <w:vertAlign w:val="superscript"/>
          <w:rtl/>
          <w:lang w:bidi="ar-DZ"/>
        </w:rPr>
        <w:t>(5)</w:t>
      </w:r>
    </w:p>
    <w:p w:rsidR="008766BB" w:rsidRPr="00EC74D4" w:rsidRDefault="008766BB" w:rsidP="00B72D23">
      <w:pPr>
        <w:pStyle w:val="ListParagraph"/>
        <w:numPr>
          <w:ilvl w:val="0"/>
          <w:numId w:val="2"/>
        </w:numPr>
        <w:bidi/>
        <w:spacing w:line="240" w:lineRule="auto"/>
        <w:rPr>
          <w:rFonts w:ascii="Traditional Arabic" w:hAnsi="Traditional Arabic" w:cs="Traditional Arabic"/>
          <w:sz w:val="28"/>
          <w:szCs w:val="28"/>
          <w:rtl/>
          <w:lang w:bidi="ar-DZ"/>
        </w:rPr>
      </w:pPr>
      <w:r w:rsidRPr="00EC74D4">
        <w:rPr>
          <w:rFonts w:ascii="Traditional Arabic" w:hAnsi="Traditional Arabic" w:cs="Traditional Arabic" w:hint="cs"/>
          <w:sz w:val="28"/>
          <w:szCs w:val="28"/>
          <w:rtl/>
          <w:lang w:bidi="ar-DZ"/>
        </w:rPr>
        <w:t>كما أن دولة الامارت تأتي في المرتبة الثانية اكبر مصدر للصكوك الإسلامية في العالم بعد ماليزيا إذ بلغ إجمالي الصكوك التي اصدرتها دولة الامارات 32,8 مليار دولار منذ بدأت عمليات اصدرات الصكوك حول العالم.</w:t>
      </w:r>
    </w:p>
    <w:p w:rsidR="008766BB" w:rsidRPr="00EC74D4" w:rsidRDefault="008766BB" w:rsidP="00B72D23">
      <w:pPr>
        <w:pStyle w:val="ListParagraph"/>
        <w:numPr>
          <w:ilvl w:val="0"/>
          <w:numId w:val="2"/>
        </w:numPr>
        <w:bidi/>
        <w:spacing w:line="240" w:lineRule="auto"/>
        <w:rPr>
          <w:rFonts w:ascii="Traditional Arabic" w:hAnsi="Traditional Arabic" w:cs="Traditional Arabic"/>
          <w:sz w:val="28"/>
          <w:szCs w:val="28"/>
          <w:rtl/>
          <w:lang w:bidi="ar-DZ"/>
        </w:rPr>
      </w:pPr>
      <w:r w:rsidRPr="00EC74D4">
        <w:rPr>
          <w:rFonts w:ascii="Traditional Arabic" w:hAnsi="Traditional Arabic" w:cs="Traditional Arabic" w:hint="cs"/>
          <w:sz w:val="28"/>
          <w:szCs w:val="28"/>
          <w:rtl/>
          <w:lang w:bidi="ar-DZ"/>
        </w:rPr>
        <w:t xml:space="preserve">كما ضمت قائمة اكبر 25 بنكا في منطقة الشرق </w:t>
      </w:r>
      <w:r w:rsidR="009419F0" w:rsidRPr="00EC74D4">
        <w:rPr>
          <w:rFonts w:ascii="Traditional Arabic" w:hAnsi="Traditional Arabic" w:cs="Traditional Arabic" w:hint="cs"/>
          <w:sz w:val="28"/>
          <w:szCs w:val="28"/>
          <w:rtl/>
          <w:lang w:bidi="ar-DZ"/>
        </w:rPr>
        <w:t>الأوسط</w:t>
      </w:r>
      <w:r w:rsidRPr="00EC74D4">
        <w:rPr>
          <w:rFonts w:ascii="Traditional Arabic" w:hAnsi="Traditional Arabic" w:cs="Traditional Arabic" w:hint="cs"/>
          <w:sz w:val="28"/>
          <w:szCs w:val="28"/>
          <w:rtl/>
          <w:lang w:bidi="ar-DZ"/>
        </w:rPr>
        <w:t xml:space="preserve"> وشمال </w:t>
      </w:r>
      <w:r w:rsidR="009419F0" w:rsidRPr="00EC74D4">
        <w:rPr>
          <w:rFonts w:ascii="Traditional Arabic" w:hAnsi="Traditional Arabic" w:cs="Traditional Arabic" w:hint="cs"/>
          <w:sz w:val="28"/>
          <w:szCs w:val="28"/>
          <w:rtl/>
          <w:lang w:bidi="ar-DZ"/>
        </w:rPr>
        <w:t>إفريقيا</w:t>
      </w:r>
      <w:r w:rsidRPr="00EC74D4">
        <w:rPr>
          <w:rFonts w:ascii="Traditional Arabic" w:hAnsi="Traditional Arabic" w:cs="Traditional Arabic" w:hint="cs"/>
          <w:sz w:val="28"/>
          <w:szCs w:val="28"/>
          <w:rtl/>
          <w:lang w:bidi="ar-DZ"/>
        </w:rPr>
        <w:t xml:space="preserve"> سبعة من البنوك </w:t>
      </w:r>
      <w:r w:rsidR="009419F0" w:rsidRPr="00EC74D4">
        <w:rPr>
          <w:rFonts w:ascii="Traditional Arabic" w:hAnsi="Traditional Arabic" w:cs="Traditional Arabic" w:hint="cs"/>
          <w:sz w:val="28"/>
          <w:szCs w:val="28"/>
          <w:rtl/>
          <w:lang w:bidi="ar-DZ"/>
        </w:rPr>
        <w:t>الإماراتية</w:t>
      </w:r>
      <w:r w:rsidRPr="00EC74D4">
        <w:rPr>
          <w:rFonts w:ascii="Traditional Arabic" w:hAnsi="Traditional Arabic" w:cs="Traditional Arabic" w:hint="cs"/>
          <w:sz w:val="28"/>
          <w:szCs w:val="28"/>
          <w:rtl/>
          <w:lang w:bidi="ar-DZ"/>
        </w:rPr>
        <w:t xml:space="preserve">، </w:t>
      </w:r>
      <w:r w:rsidR="00EC74D4" w:rsidRPr="00EC74D4">
        <w:rPr>
          <w:rFonts w:ascii="Traditional Arabic" w:hAnsi="Traditional Arabic" w:cs="Traditional Arabic" w:hint="cs"/>
          <w:sz w:val="28"/>
          <w:szCs w:val="28"/>
          <w:rtl/>
          <w:lang w:bidi="ar-DZ"/>
        </w:rPr>
        <w:t>من حيث متطلبات رأس المال.</w:t>
      </w:r>
    </w:p>
    <w:p w:rsidR="00EC74D4" w:rsidRPr="00EC74D4" w:rsidRDefault="00EC74D4" w:rsidP="00B72D23">
      <w:pPr>
        <w:pStyle w:val="ListParagraph"/>
        <w:numPr>
          <w:ilvl w:val="0"/>
          <w:numId w:val="2"/>
        </w:numPr>
        <w:bidi/>
        <w:spacing w:line="240" w:lineRule="auto"/>
        <w:rPr>
          <w:rFonts w:ascii="Traditional Arabic" w:hAnsi="Traditional Arabic" w:cs="Traditional Arabic"/>
          <w:sz w:val="28"/>
          <w:szCs w:val="28"/>
          <w:rtl/>
          <w:lang w:bidi="ar-DZ"/>
        </w:rPr>
      </w:pPr>
      <w:r w:rsidRPr="00EC74D4">
        <w:rPr>
          <w:rFonts w:ascii="Traditional Arabic" w:hAnsi="Traditional Arabic" w:cs="Traditional Arabic" w:hint="cs"/>
          <w:sz w:val="28"/>
          <w:szCs w:val="28"/>
          <w:rtl/>
          <w:lang w:bidi="ar-DZ"/>
        </w:rPr>
        <w:lastRenderedPageBreak/>
        <w:t>ضمان جميع الودائع المصرفية والقروض بين البنوك لمدة ثلاث سنوات.</w:t>
      </w:r>
    </w:p>
    <w:p w:rsidR="00EC74D4" w:rsidRDefault="00EC74D4" w:rsidP="00B72D23">
      <w:pPr>
        <w:pStyle w:val="ListParagraph"/>
        <w:numPr>
          <w:ilvl w:val="0"/>
          <w:numId w:val="2"/>
        </w:numPr>
        <w:bidi/>
        <w:spacing w:line="240" w:lineRule="auto"/>
        <w:rPr>
          <w:rFonts w:ascii="Traditional Arabic" w:hAnsi="Traditional Arabic" w:cs="Traditional Arabic"/>
          <w:sz w:val="28"/>
          <w:szCs w:val="28"/>
          <w:lang w:bidi="ar-DZ"/>
        </w:rPr>
      </w:pPr>
      <w:r w:rsidRPr="00EC74D4">
        <w:rPr>
          <w:rFonts w:ascii="Traditional Arabic" w:hAnsi="Traditional Arabic" w:cs="Traditional Arabic" w:hint="cs"/>
          <w:sz w:val="28"/>
          <w:szCs w:val="28"/>
          <w:rtl/>
          <w:lang w:bidi="ar-DZ"/>
        </w:rPr>
        <w:t>تخفيض أسعار الفائدة.</w:t>
      </w:r>
    </w:p>
    <w:p w:rsidR="00EC74D4" w:rsidRDefault="00EC74D4" w:rsidP="00B72D23">
      <w:pPr>
        <w:pStyle w:val="ListParagraph"/>
        <w:numPr>
          <w:ilvl w:val="0"/>
          <w:numId w:val="2"/>
        </w:numPr>
        <w:bidi/>
        <w:spacing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ضخ 19 مليارات دولار على مراحل في شكل ودائع طويلة الأجل لدى البنوك </w:t>
      </w:r>
      <w:r w:rsidR="009419F0">
        <w:rPr>
          <w:rFonts w:ascii="Traditional Arabic" w:hAnsi="Traditional Arabic" w:cs="Traditional Arabic" w:hint="cs"/>
          <w:sz w:val="28"/>
          <w:szCs w:val="28"/>
          <w:rtl/>
          <w:lang w:bidi="ar-DZ"/>
        </w:rPr>
        <w:t>وإنشاء</w:t>
      </w:r>
      <w:r>
        <w:rPr>
          <w:rFonts w:ascii="Traditional Arabic" w:hAnsi="Traditional Arabic" w:cs="Traditional Arabic" w:hint="cs"/>
          <w:sz w:val="28"/>
          <w:szCs w:val="28"/>
          <w:rtl/>
          <w:lang w:bidi="ar-DZ"/>
        </w:rPr>
        <w:t xml:space="preserve"> تسهيل قصير اجل لتوفير السيولة قيمته 13,6 مليار دولار، وتسهيل لمبادلة الدولار في البنك المركزي وتخفيض القيود على الاستفادة من أموال البنك المركزي.</w:t>
      </w:r>
    </w:p>
    <w:p w:rsidR="00EC74D4" w:rsidRDefault="00EC74D4" w:rsidP="00B72D23">
      <w:pPr>
        <w:bidi/>
        <w:spacing w:line="240" w:lineRule="auto"/>
        <w:rPr>
          <w:rFonts w:ascii="Traditional Arabic" w:hAnsi="Traditional Arabic" w:cs="Traditional Arabic"/>
          <w:sz w:val="28"/>
          <w:szCs w:val="28"/>
          <w:rtl/>
          <w:lang w:bidi="ar-DZ"/>
        </w:rPr>
      </w:pPr>
      <w:r w:rsidRPr="00EC74D4">
        <w:rPr>
          <w:rFonts w:ascii="Traditional Arabic" w:hAnsi="Traditional Arabic" w:cs="Traditional Arabic" w:hint="cs"/>
          <w:b/>
          <w:bCs/>
          <w:sz w:val="28"/>
          <w:szCs w:val="28"/>
          <w:rtl/>
          <w:lang w:bidi="ar-DZ"/>
        </w:rPr>
        <w:t>2- بنك دبي الإسلامي</w:t>
      </w:r>
      <w:r>
        <w:rPr>
          <w:rFonts w:ascii="Traditional Arabic" w:hAnsi="Traditional Arabic" w:cs="Traditional Arabic" w:hint="cs"/>
          <w:sz w:val="28"/>
          <w:szCs w:val="28"/>
          <w:rtl/>
          <w:lang w:bidi="ar-DZ"/>
        </w:rPr>
        <w:t xml:space="preserve">: </w:t>
      </w:r>
    </w:p>
    <w:p w:rsidR="00EC74D4" w:rsidRPr="00522232" w:rsidRDefault="00EC74D4" w:rsidP="00B72D23">
      <w:pPr>
        <w:bidi/>
        <w:spacing w:line="240" w:lineRule="auto"/>
        <w:rPr>
          <w:rFonts w:ascii="Traditional Arabic" w:hAnsi="Traditional Arabic" w:cs="Traditional Arabic"/>
          <w:sz w:val="28"/>
          <w:szCs w:val="28"/>
          <w:vertAlign w:val="superscript"/>
          <w:rtl/>
          <w:lang w:bidi="ar-DZ"/>
        </w:rPr>
      </w:pPr>
      <w:r w:rsidRPr="00EC74D4">
        <w:rPr>
          <w:rFonts w:ascii="Traditional Arabic" w:hAnsi="Traditional Arabic" w:cs="Traditional Arabic" w:hint="cs"/>
          <w:b/>
          <w:bCs/>
          <w:sz w:val="28"/>
          <w:szCs w:val="28"/>
          <w:rtl/>
          <w:lang w:bidi="ar-DZ"/>
        </w:rPr>
        <w:t>أ- نشأة بنك دبي الإسلامي</w:t>
      </w:r>
      <w:r>
        <w:rPr>
          <w:rFonts w:ascii="Traditional Arabic" w:hAnsi="Traditional Arabic" w:cs="Traditional Arabic" w:hint="cs"/>
          <w:sz w:val="28"/>
          <w:szCs w:val="28"/>
          <w:rtl/>
          <w:lang w:bidi="ar-DZ"/>
        </w:rPr>
        <w:t>: تأسس كشركة مساهمة عامة بتاريخ 12 مارس 1975 بغرض تقديم الخدمات المصرفية وفق مبادئ الشريعة الإسلامية.</w:t>
      </w:r>
      <w:r w:rsidR="00522232">
        <w:rPr>
          <w:rFonts w:ascii="Traditional Arabic" w:hAnsi="Traditional Arabic" w:cs="Traditional Arabic" w:hint="cs"/>
          <w:sz w:val="28"/>
          <w:szCs w:val="28"/>
          <w:vertAlign w:val="superscript"/>
          <w:rtl/>
          <w:lang w:bidi="ar-DZ"/>
        </w:rPr>
        <w:t>(6)</w:t>
      </w:r>
    </w:p>
    <w:p w:rsidR="00187482" w:rsidRDefault="00522232"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ويبلغ عدد المشاريع الاستثمارية وعدد الشركات التابعة عام 2007 إلى 55 شركة تقوم بأعمال الخدمات البنكية والوساطة والاستشارات المالية وأخرى في مجال التطوير العقاري والاستثمار العقاري بالإضافة إلى مجموعة من الشركات التي تقوم </w:t>
      </w:r>
      <w:r w:rsidR="009419F0">
        <w:rPr>
          <w:rFonts w:ascii="Traditional Arabic" w:hAnsi="Traditional Arabic" w:cs="Traditional Arabic" w:hint="cs"/>
          <w:sz w:val="28"/>
          <w:szCs w:val="28"/>
          <w:rtl/>
          <w:lang w:bidi="ar-DZ"/>
        </w:rPr>
        <w:t>بالأعمال</w:t>
      </w:r>
      <w:r>
        <w:rPr>
          <w:rFonts w:ascii="Traditional Arabic" w:hAnsi="Traditional Arabic" w:cs="Traditional Arabic" w:hint="cs"/>
          <w:sz w:val="28"/>
          <w:szCs w:val="28"/>
          <w:rtl/>
          <w:lang w:bidi="ar-DZ"/>
        </w:rPr>
        <w:t xml:space="preserve"> الصناعية بالنسيج </w:t>
      </w:r>
      <w:r w:rsidR="009419F0">
        <w:rPr>
          <w:rFonts w:ascii="Traditional Arabic" w:hAnsi="Traditional Arabic" w:cs="Traditional Arabic" w:hint="cs"/>
          <w:sz w:val="28"/>
          <w:szCs w:val="28"/>
          <w:rtl/>
          <w:lang w:bidi="ar-DZ"/>
        </w:rPr>
        <w:t>والألمنيوم</w:t>
      </w:r>
      <w:r>
        <w:rPr>
          <w:rFonts w:ascii="Traditional Arabic" w:hAnsi="Traditional Arabic" w:cs="Traditional Arabic" w:hint="cs"/>
          <w:sz w:val="28"/>
          <w:szCs w:val="28"/>
          <w:rtl/>
          <w:lang w:bidi="ar-DZ"/>
        </w:rPr>
        <w:t xml:space="preserve"> وغيرها.</w:t>
      </w:r>
    </w:p>
    <w:p w:rsidR="00522232" w:rsidRDefault="00522232" w:rsidP="00B72D23">
      <w:pPr>
        <w:bidi/>
        <w:spacing w:line="240" w:lineRule="auto"/>
        <w:rPr>
          <w:rFonts w:ascii="Traditional Arabic" w:hAnsi="Traditional Arabic" w:cs="Traditional Arabic"/>
          <w:sz w:val="28"/>
          <w:szCs w:val="28"/>
          <w:vertAlign w:val="superscript"/>
          <w:rtl/>
          <w:lang w:bidi="ar-DZ"/>
        </w:rPr>
      </w:pPr>
      <w:r>
        <w:rPr>
          <w:rFonts w:ascii="Traditional Arabic" w:hAnsi="Traditional Arabic" w:cs="Traditional Arabic" w:hint="cs"/>
          <w:sz w:val="28"/>
          <w:szCs w:val="28"/>
          <w:rtl/>
          <w:lang w:bidi="ar-DZ"/>
        </w:rPr>
        <w:t xml:space="preserve">   ويقوم المصرف </w:t>
      </w:r>
      <w:r w:rsidR="009419F0">
        <w:rPr>
          <w:rFonts w:ascii="Traditional Arabic" w:hAnsi="Traditional Arabic" w:cs="Traditional Arabic" w:hint="cs"/>
          <w:sz w:val="28"/>
          <w:szCs w:val="28"/>
          <w:rtl/>
          <w:lang w:bidi="ar-DZ"/>
        </w:rPr>
        <w:t>بالأعمال</w:t>
      </w:r>
      <w:r>
        <w:rPr>
          <w:rFonts w:ascii="Traditional Arabic" w:hAnsi="Traditional Arabic" w:cs="Traditional Arabic" w:hint="cs"/>
          <w:sz w:val="28"/>
          <w:szCs w:val="28"/>
          <w:rtl/>
          <w:lang w:bidi="ar-DZ"/>
        </w:rPr>
        <w:t xml:space="preserve"> الاستثمارية كما نص عليه النظام الأساسي من خلال مجموعة الأدوات المالية المتوافقة مع الشريعة كالمضاربة، المرابحة، الاستصناع، المشاركات والوكالة.</w:t>
      </w:r>
      <w:r>
        <w:rPr>
          <w:rFonts w:ascii="Traditional Arabic" w:hAnsi="Traditional Arabic" w:cs="Traditional Arabic" w:hint="cs"/>
          <w:sz w:val="28"/>
          <w:szCs w:val="28"/>
          <w:vertAlign w:val="superscript"/>
          <w:rtl/>
          <w:lang w:bidi="ar-DZ"/>
        </w:rPr>
        <w:t>(7)</w:t>
      </w:r>
    </w:p>
    <w:p w:rsidR="009419F0" w:rsidRPr="00722A17" w:rsidRDefault="009419F0" w:rsidP="00B72D23">
      <w:pPr>
        <w:bidi/>
        <w:spacing w:line="240" w:lineRule="auto"/>
        <w:rPr>
          <w:rFonts w:ascii="Traditional Arabic" w:hAnsi="Traditional Arabic" w:cs="Traditional Arabic"/>
          <w:sz w:val="28"/>
          <w:szCs w:val="28"/>
          <w:vertAlign w:val="superscript"/>
          <w:rtl/>
          <w:lang w:bidi="ar-DZ"/>
        </w:rPr>
      </w:pPr>
      <w:r w:rsidRPr="009419F0">
        <w:rPr>
          <w:rFonts w:ascii="Traditional Arabic" w:hAnsi="Traditional Arabic" w:cs="Traditional Arabic" w:hint="cs"/>
          <w:b/>
          <w:bCs/>
          <w:sz w:val="28"/>
          <w:szCs w:val="28"/>
          <w:rtl/>
          <w:lang w:bidi="ar-DZ"/>
        </w:rPr>
        <w:t>ب- قيم بنك دبي الإسلامي</w:t>
      </w:r>
      <w:r>
        <w:rPr>
          <w:rFonts w:ascii="Traditional Arabic" w:hAnsi="Traditional Arabic" w:cs="Traditional Arabic" w:hint="cs"/>
          <w:sz w:val="28"/>
          <w:szCs w:val="28"/>
          <w:rtl/>
          <w:lang w:bidi="ar-DZ"/>
        </w:rPr>
        <w:t>:</w:t>
      </w:r>
      <w:r w:rsidR="00722A17">
        <w:rPr>
          <w:rFonts w:ascii="Traditional Arabic" w:hAnsi="Traditional Arabic" w:cs="Traditional Arabic" w:hint="cs"/>
          <w:sz w:val="28"/>
          <w:szCs w:val="28"/>
          <w:rtl/>
          <w:lang w:bidi="ar-DZ"/>
        </w:rPr>
        <w:t xml:space="preserve"> إن لكل بنك قيم خاصة به وقيم بنك دبي الإسلامي تتمثل في:</w:t>
      </w:r>
      <w:r w:rsidR="00722A17">
        <w:rPr>
          <w:rFonts w:ascii="Traditional Arabic" w:hAnsi="Traditional Arabic" w:cs="Traditional Arabic" w:hint="cs"/>
          <w:sz w:val="28"/>
          <w:szCs w:val="28"/>
          <w:vertAlign w:val="superscript"/>
          <w:rtl/>
          <w:lang w:bidi="ar-DZ"/>
        </w:rPr>
        <w:t>(8)</w:t>
      </w:r>
    </w:p>
    <w:p w:rsidR="00722A17" w:rsidRDefault="00722A17" w:rsidP="00B72D23">
      <w:pPr>
        <w:bidi/>
        <w:spacing w:line="240" w:lineRule="auto"/>
        <w:rPr>
          <w:rFonts w:ascii="Traditional Arabic" w:hAnsi="Traditional Arabic" w:cs="Traditional Arabic"/>
          <w:sz w:val="28"/>
          <w:szCs w:val="28"/>
          <w:rtl/>
          <w:lang w:bidi="ar-DZ"/>
        </w:rPr>
      </w:pPr>
      <w:r w:rsidRPr="00722A17">
        <w:rPr>
          <w:rFonts w:ascii="Traditional Arabic" w:hAnsi="Traditional Arabic" w:cs="Traditional Arabic" w:hint="cs"/>
          <w:b/>
          <w:bCs/>
          <w:sz w:val="28"/>
          <w:szCs w:val="28"/>
          <w:rtl/>
          <w:lang w:bidi="ar-DZ"/>
        </w:rPr>
        <w:t>- الابتكار</w:t>
      </w:r>
      <w:r>
        <w:rPr>
          <w:rFonts w:ascii="Traditional Arabic" w:hAnsi="Traditional Arabic" w:cs="Traditional Arabic" w:hint="cs"/>
          <w:sz w:val="28"/>
          <w:szCs w:val="28"/>
          <w:rtl/>
          <w:lang w:bidi="ar-DZ"/>
        </w:rPr>
        <w:t>: يتمسك بنك دبي الإسلامي بمبادئ الإبداع حيث يتميز كمؤسسة مالية رائدة من خلال الجمع بين القيم الإسلامية الحقيقية واحدث التقنيات العالمية والمنتجات والخدمات المبتكرة وبالتالي تقدم أفضل الخدمات البنكية الإسلامية الحديثة.</w:t>
      </w:r>
    </w:p>
    <w:p w:rsidR="00722A17" w:rsidRDefault="00722A17" w:rsidP="00B72D23">
      <w:pPr>
        <w:bidi/>
        <w:spacing w:line="240" w:lineRule="auto"/>
        <w:rPr>
          <w:rFonts w:ascii="Traditional Arabic" w:hAnsi="Traditional Arabic" w:cs="Traditional Arabic"/>
          <w:sz w:val="28"/>
          <w:szCs w:val="28"/>
          <w:rtl/>
          <w:lang w:bidi="ar-DZ"/>
        </w:rPr>
      </w:pPr>
      <w:r w:rsidRPr="00722A17">
        <w:rPr>
          <w:rFonts w:ascii="Traditional Arabic" w:hAnsi="Traditional Arabic" w:cs="Traditional Arabic" w:hint="cs"/>
          <w:b/>
          <w:bCs/>
          <w:sz w:val="28"/>
          <w:szCs w:val="28"/>
          <w:rtl/>
          <w:lang w:bidi="ar-DZ"/>
        </w:rPr>
        <w:t>- المعرفة</w:t>
      </w:r>
      <w:r>
        <w:rPr>
          <w:rFonts w:ascii="Traditional Arabic" w:hAnsi="Traditional Arabic" w:cs="Traditional Arabic" w:hint="cs"/>
          <w:sz w:val="28"/>
          <w:szCs w:val="28"/>
          <w:rtl/>
          <w:lang w:bidi="ar-DZ"/>
        </w:rPr>
        <w:t>: يعتمد البنك على منظومة سياسات ائتمانية وقوانين عمل مستمدة من التعاليم والتشريعات المنصوص عليها في القران الكريم والسنة النبوية الشريفة.</w:t>
      </w:r>
    </w:p>
    <w:p w:rsidR="00722A17" w:rsidRDefault="00722A17" w:rsidP="00B72D23">
      <w:pPr>
        <w:bidi/>
        <w:spacing w:line="240" w:lineRule="auto"/>
        <w:rPr>
          <w:rFonts w:ascii="Traditional Arabic" w:hAnsi="Traditional Arabic" w:cs="Traditional Arabic"/>
          <w:sz w:val="28"/>
          <w:szCs w:val="28"/>
          <w:rtl/>
          <w:lang w:bidi="ar-DZ"/>
        </w:rPr>
      </w:pPr>
      <w:r w:rsidRPr="00722A17">
        <w:rPr>
          <w:rFonts w:ascii="Traditional Arabic" w:hAnsi="Traditional Arabic" w:cs="Traditional Arabic" w:hint="cs"/>
          <w:b/>
          <w:bCs/>
          <w:sz w:val="28"/>
          <w:szCs w:val="28"/>
          <w:rtl/>
          <w:lang w:bidi="ar-DZ"/>
        </w:rPr>
        <w:t>- الجودة</w:t>
      </w:r>
      <w:r>
        <w:rPr>
          <w:rFonts w:ascii="Traditional Arabic" w:hAnsi="Traditional Arabic" w:cs="Traditional Arabic" w:hint="cs"/>
          <w:sz w:val="28"/>
          <w:szCs w:val="28"/>
          <w:rtl/>
          <w:lang w:bidi="ar-DZ"/>
        </w:rPr>
        <w:t>: يتم تصميم الخدمات والمنتجات البنكية الخاصة بهذا البنك وفق مبدا الاتقان المركز على الجودة.</w:t>
      </w:r>
    </w:p>
    <w:p w:rsidR="00722A17" w:rsidRDefault="00722A17" w:rsidP="00B72D23">
      <w:pPr>
        <w:bidi/>
        <w:spacing w:line="240" w:lineRule="auto"/>
        <w:rPr>
          <w:rFonts w:ascii="Traditional Arabic" w:hAnsi="Traditional Arabic" w:cs="Traditional Arabic"/>
          <w:sz w:val="28"/>
          <w:szCs w:val="28"/>
          <w:rtl/>
          <w:lang w:bidi="ar-DZ"/>
        </w:rPr>
      </w:pPr>
      <w:r w:rsidRPr="00722A17">
        <w:rPr>
          <w:rFonts w:ascii="Traditional Arabic" w:hAnsi="Traditional Arabic" w:cs="Traditional Arabic" w:hint="cs"/>
          <w:b/>
          <w:bCs/>
          <w:sz w:val="28"/>
          <w:szCs w:val="28"/>
          <w:rtl/>
          <w:lang w:bidi="ar-DZ"/>
        </w:rPr>
        <w:t>- القيمة المضافة:</w:t>
      </w:r>
      <w:r>
        <w:rPr>
          <w:rFonts w:ascii="Traditional Arabic" w:hAnsi="Traditional Arabic" w:cs="Traditional Arabic" w:hint="cs"/>
          <w:sz w:val="28"/>
          <w:szCs w:val="28"/>
          <w:rtl/>
          <w:lang w:bidi="ar-DZ"/>
        </w:rPr>
        <w:t xml:space="preserve"> إن نجاح بنك دبي الإسلامي ما هو إلا انعكاس هذا الأخير في تقديم قيمة حقيقة ومضافة وعوائد مجدية من خلال توفير ارقى الخدمات البنكية المتاحة.</w:t>
      </w:r>
    </w:p>
    <w:p w:rsidR="00722A17" w:rsidRDefault="00722A17" w:rsidP="00B72D23">
      <w:pPr>
        <w:bidi/>
        <w:spacing w:line="240" w:lineRule="auto"/>
        <w:rPr>
          <w:rFonts w:ascii="Traditional Arabic" w:hAnsi="Traditional Arabic" w:cs="Traditional Arabic"/>
          <w:sz w:val="28"/>
          <w:szCs w:val="28"/>
          <w:lang w:bidi="ar-DZ"/>
        </w:rPr>
      </w:pPr>
      <w:r w:rsidRPr="00722A17">
        <w:rPr>
          <w:rFonts w:ascii="Traditional Arabic" w:hAnsi="Traditional Arabic" w:cs="Traditional Arabic" w:hint="cs"/>
          <w:b/>
          <w:bCs/>
          <w:sz w:val="28"/>
          <w:szCs w:val="28"/>
          <w:rtl/>
          <w:lang w:bidi="ar-DZ"/>
        </w:rPr>
        <w:t xml:space="preserve">- الالتزام باحكام الشريعة الإسلامية: </w:t>
      </w:r>
      <w:r>
        <w:rPr>
          <w:rFonts w:ascii="Traditional Arabic" w:hAnsi="Traditional Arabic" w:cs="Traditional Arabic" w:hint="cs"/>
          <w:sz w:val="28"/>
          <w:szCs w:val="28"/>
          <w:rtl/>
          <w:lang w:bidi="ar-DZ"/>
        </w:rPr>
        <w:t>أي الابتعاد عن الربا وما حرم الله عزوجل في كتابه الكريم وسنة نبيه الحبيب عند التعامل والاستثمار في الأموال.</w:t>
      </w:r>
    </w:p>
    <w:p w:rsidR="00C6416B" w:rsidRDefault="00C6416B" w:rsidP="00B72D23">
      <w:pPr>
        <w:bidi/>
        <w:spacing w:line="240" w:lineRule="auto"/>
        <w:rPr>
          <w:rFonts w:ascii="Traditional Arabic" w:hAnsi="Traditional Arabic" w:cs="Traditional Arabic"/>
          <w:sz w:val="28"/>
          <w:szCs w:val="28"/>
          <w:rtl/>
          <w:lang w:bidi="ar-DZ"/>
        </w:rPr>
      </w:pPr>
      <w:r w:rsidRPr="00C6416B">
        <w:rPr>
          <w:rFonts w:ascii="Traditional Arabic" w:hAnsi="Traditional Arabic" w:cs="Traditional Arabic" w:hint="cs"/>
          <w:b/>
          <w:bCs/>
          <w:sz w:val="28"/>
          <w:szCs w:val="28"/>
          <w:rtl/>
          <w:lang w:bidi="ar-DZ"/>
        </w:rPr>
        <w:t>ج- أهداف بنك دبي الإسلامي</w:t>
      </w:r>
      <w:r>
        <w:rPr>
          <w:rFonts w:ascii="Traditional Arabic" w:hAnsi="Traditional Arabic" w:cs="Traditional Arabic" w:hint="cs"/>
          <w:sz w:val="28"/>
          <w:szCs w:val="28"/>
          <w:rtl/>
          <w:lang w:bidi="ar-DZ"/>
        </w:rPr>
        <w:t>: تتمثل الأغراض التي يسعى بنك دبي الإسلامي لتحقيقها في:</w:t>
      </w:r>
      <w:r>
        <w:rPr>
          <w:rFonts w:ascii="Traditional Arabic" w:hAnsi="Traditional Arabic" w:cs="Traditional Arabic" w:hint="cs"/>
          <w:sz w:val="28"/>
          <w:szCs w:val="28"/>
          <w:vertAlign w:val="superscript"/>
          <w:rtl/>
          <w:lang w:bidi="ar-DZ"/>
        </w:rPr>
        <w:t>(9)</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-إدارة استثماراته بكل عناية بهدف تحقيق أفضل الإرباح.</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التعاون والتنسيق والتكامل مع مؤسسات وهيئات مالية تلتزم باسس الشريعة الإسلامية.</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تطوير المجتمعات الإسلامية في جميع المجالات الاقتصادية عبر تنويع الاستثمار.</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المسؤولية والخدمات الاجتماعية المتمحورة حول التعاليم الإسلامية خاصة فريضة الزكاة.</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المحافظة على مقدرة البنك على الاستمرار في العمل وزيادة العائدات للمساهمين.</w:t>
      </w:r>
    </w:p>
    <w:p w:rsidR="00C6416B" w:rsidRDefault="00C6416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الاحتفاظ بقاعدة رأس مال بهدف مواصلة تطور أعمال البنك.</w:t>
      </w:r>
    </w:p>
    <w:p w:rsidR="00C6416B" w:rsidRDefault="00C72DF0"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د- مصادر أموا</w:t>
      </w:r>
      <w:r w:rsidRPr="00C6416B">
        <w:rPr>
          <w:rFonts w:ascii="Traditional Arabic" w:hAnsi="Traditional Arabic" w:cs="Traditional Arabic" w:hint="cs"/>
          <w:b/>
          <w:bCs/>
          <w:sz w:val="28"/>
          <w:szCs w:val="28"/>
          <w:rtl/>
          <w:lang w:bidi="ar-DZ"/>
        </w:rPr>
        <w:t>ل</w:t>
      </w:r>
      <w:r w:rsidR="00C6416B" w:rsidRPr="00C6416B">
        <w:rPr>
          <w:rFonts w:ascii="Traditional Arabic" w:hAnsi="Traditional Arabic" w:cs="Traditional Arabic" w:hint="cs"/>
          <w:b/>
          <w:bCs/>
          <w:sz w:val="28"/>
          <w:szCs w:val="28"/>
          <w:rtl/>
          <w:lang w:bidi="ar-DZ"/>
        </w:rPr>
        <w:t xml:space="preserve"> بنك دبي الإسلامي</w:t>
      </w:r>
      <w:r w:rsidR="00C6416B">
        <w:rPr>
          <w:rFonts w:ascii="Traditional Arabic" w:hAnsi="Traditional Arabic" w:cs="Traditional Arabic" w:hint="cs"/>
          <w:sz w:val="28"/>
          <w:szCs w:val="28"/>
          <w:rtl/>
          <w:lang w:bidi="ar-DZ"/>
        </w:rPr>
        <w:t>: إن مصادر أموال بنك دبي الإسلامي متعددة وكثيرة نذكر منها:</w:t>
      </w:r>
    </w:p>
    <w:p w:rsidR="00C6416B" w:rsidRDefault="00C6416B" w:rsidP="00B72D23">
      <w:pPr>
        <w:bidi/>
        <w:spacing w:line="240" w:lineRule="auto"/>
        <w:rPr>
          <w:rFonts w:ascii="Traditional Arabic" w:hAnsi="Traditional Arabic" w:cs="Traditional Arabic"/>
          <w:sz w:val="28"/>
          <w:szCs w:val="28"/>
          <w:rtl/>
          <w:lang w:bidi="ar-DZ"/>
        </w:rPr>
      </w:pPr>
      <w:r w:rsidRPr="00C6416B">
        <w:rPr>
          <w:rFonts w:ascii="Traditional Arabic" w:hAnsi="Traditional Arabic" w:cs="Traditional Arabic" w:hint="cs"/>
          <w:b/>
          <w:bCs/>
          <w:sz w:val="28"/>
          <w:szCs w:val="28"/>
          <w:rtl/>
          <w:lang w:bidi="ar-DZ"/>
        </w:rPr>
        <w:t>- رأس المال</w:t>
      </w:r>
      <w:r>
        <w:rPr>
          <w:rFonts w:ascii="Traditional Arabic" w:hAnsi="Traditional Arabic" w:cs="Traditional Arabic" w:hint="cs"/>
          <w:sz w:val="28"/>
          <w:szCs w:val="28"/>
          <w:rtl/>
          <w:lang w:bidi="ar-DZ"/>
        </w:rPr>
        <w:t xml:space="preserve">: عند تأسيس البنك بلغ رأسماله 50 مليون درهم اماراتي مقسمة إلى 100000 سهم، قيمة كل سهم 500 درهم، </w:t>
      </w:r>
      <w:r w:rsidR="00E567E7">
        <w:rPr>
          <w:rFonts w:ascii="Traditional Arabic" w:hAnsi="Traditional Arabic" w:cs="Traditional Arabic" w:hint="cs"/>
          <w:sz w:val="28"/>
          <w:szCs w:val="28"/>
          <w:rtl/>
          <w:lang w:bidi="ar-DZ"/>
        </w:rPr>
        <w:t>ساهم المؤسسون الخمسة ب 10000 درهم، والباقي طرح للاكتتاب فيه من طرف المواطنين.</w:t>
      </w:r>
    </w:p>
    <w:p w:rsidR="00E567E7" w:rsidRPr="00E567E7" w:rsidRDefault="00E567E7" w:rsidP="00B72D23">
      <w:pPr>
        <w:bidi/>
        <w:spacing w:line="240" w:lineRule="auto"/>
        <w:rPr>
          <w:rFonts w:ascii="Traditional Arabic" w:hAnsi="Traditional Arabic" w:cs="Traditional Arabic"/>
          <w:sz w:val="28"/>
          <w:szCs w:val="28"/>
          <w:vertAlign w:val="superscript"/>
          <w:rtl/>
          <w:lang w:bidi="ar-DZ"/>
        </w:rPr>
      </w:pPr>
      <w:r>
        <w:rPr>
          <w:rFonts w:ascii="Traditional Arabic" w:hAnsi="Traditional Arabic" w:cs="Traditional Arabic" w:hint="cs"/>
          <w:sz w:val="28"/>
          <w:szCs w:val="28"/>
          <w:rtl/>
          <w:lang w:bidi="ar-DZ"/>
        </w:rPr>
        <w:t xml:space="preserve">   سنة 2004 تضاعف رأس المال ليصل إلى 1500 مليون درهم عن طريق طرح أسهم للاكتتاب بنسبة 50</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سنة 2006 ارتفع رأس المال إلى 1800 مليون درهم عن طريق توزيع أسهم منحة بنسبة 20</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من رأس المال، أما في مارس 2007 بلغ الارتفاع إلى 2996 مليون درهم عن طريق 7</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أسهم منحة، ثم بعدها ارتفع رأس المال البنك في 17 مارس 2008 ليصل إلى 3445.4 مليون درهم من خلال توزيع أسهم منحة بنسبة 15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وبلغ الارتفاع سنة 2009 إلى 3617,67 مليون درهم من خلال توزيع أسهم منحة بنسبة 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أما سنة 2010 زاد رأس مال البنك إلى 3798,6 مليون درهم عن طريق توزيع اسهم منحة بنسبة 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وأخيرا يوم 04 مارس 2013 وافقت الجمعية العمومية على زيادة رأسمال البنك إلى 3957,5 مليون درهم.</w:t>
      </w:r>
      <w:r>
        <w:rPr>
          <w:rFonts w:ascii="Traditional Arabic" w:hAnsi="Traditional Arabic" w:cs="Traditional Arabic" w:hint="cs"/>
          <w:sz w:val="28"/>
          <w:szCs w:val="28"/>
          <w:vertAlign w:val="superscript"/>
          <w:rtl/>
          <w:lang w:bidi="ar-DZ"/>
        </w:rPr>
        <w:t>(10)</w:t>
      </w:r>
    </w:p>
    <w:p w:rsidR="00E567E7" w:rsidRDefault="00E567E7" w:rsidP="00B72D23">
      <w:pPr>
        <w:bidi/>
        <w:spacing w:line="240" w:lineRule="auto"/>
        <w:rPr>
          <w:rFonts w:ascii="Traditional Arabic" w:hAnsi="Traditional Arabic" w:cs="Traditional Arabic"/>
          <w:sz w:val="28"/>
          <w:szCs w:val="28"/>
          <w:rtl/>
          <w:lang w:bidi="ar-DZ"/>
        </w:rPr>
      </w:pPr>
      <w:r w:rsidRPr="00A27CA8">
        <w:rPr>
          <w:rFonts w:ascii="Traditional Arabic" w:hAnsi="Traditional Arabic" w:cs="Traditional Arabic" w:hint="cs"/>
          <w:b/>
          <w:bCs/>
          <w:sz w:val="28"/>
          <w:szCs w:val="28"/>
          <w:rtl/>
          <w:lang w:bidi="ar-DZ"/>
        </w:rPr>
        <w:t xml:space="preserve">- </w:t>
      </w:r>
      <w:r w:rsidR="00A27CA8" w:rsidRPr="00A27CA8">
        <w:rPr>
          <w:rFonts w:ascii="Traditional Arabic" w:hAnsi="Traditional Arabic" w:cs="Traditional Arabic" w:hint="cs"/>
          <w:b/>
          <w:bCs/>
          <w:sz w:val="28"/>
          <w:szCs w:val="28"/>
          <w:rtl/>
          <w:lang w:bidi="ar-DZ"/>
        </w:rPr>
        <w:t>الاحتياطات</w:t>
      </w:r>
      <w:r w:rsidR="00A27CA8">
        <w:rPr>
          <w:rFonts w:ascii="Traditional Arabic" w:hAnsi="Traditional Arabic" w:cs="Traditional Arabic" w:hint="cs"/>
          <w:sz w:val="28"/>
          <w:szCs w:val="28"/>
          <w:rtl/>
          <w:lang w:bidi="ar-DZ"/>
        </w:rPr>
        <w:t>: تعتبر من أهم مصادر الأموال التي يعتمد عليها بنك دبي الإسلامي في تمويل احتياجاته وتتمثل احتياطاته في (الاحتياطي القانوني، الاحتياطي العام، احتياطي الاراضي الممنوحة، احتياطي تحويل العملات).</w:t>
      </w:r>
    </w:p>
    <w:p w:rsidR="001D33C2" w:rsidRPr="00B72D23" w:rsidRDefault="00A27CA8" w:rsidP="00B72D23">
      <w:pPr>
        <w:bidi/>
        <w:spacing w:line="240" w:lineRule="auto"/>
        <w:rPr>
          <w:rFonts w:ascii="Traditional Arabic" w:hAnsi="Traditional Arabic" w:cs="Traditional Arabic"/>
          <w:sz w:val="28"/>
          <w:szCs w:val="28"/>
          <w:rtl/>
          <w:lang w:bidi="ar-DZ"/>
        </w:rPr>
      </w:pPr>
      <w:r w:rsidRPr="00A27CA8">
        <w:rPr>
          <w:rFonts w:ascii="Traditional Arabic" w:hAnsi="Traditional Arabic" w:cs="Traditional Arabic" w:hint="cs"/>
          <w:b/>
          <w:bCs/>
          <w:sz w:val="28"/>
          <w:szCs w:val="28"/>
          <w:rtl/>
          <w:lang w:bidi="ar-DZ"/>
        </w:rPr>
        <w:t>- الإرباح المحتجزة</w:t>
      </w:r>
      <w:r>
        <w:rPr>
          <w:rFonts w:ascii="Traditional Arabic" w:hAnsi="Traditional Arabic" w:cs="Traditional Arabic" w:hint="cs"/>
          <w:sz w:val="28"/>
          <w:szCs w:val="28"/>
          <w:rtl/>
          <w:lang w:bidi="ar-DZ"/>
        </w:rPr>
        <w:t>: اقر بنك دبي الإسلامي خلال الربع الأول لسنة 2013 انخفاض ارباحه إلى 200 مليون درهم وخلال الربع الثاني من نفس السنة قدر ب 450 مليون درهم اماراتي، أي تراجع أرباح البنك بنسبة 40</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مقارنة بالسنة الماضية لذات الفترة وهذا حسب شركة "اتش. سي"" للاوراق المالية والاستثمار والتي تعتبر كمصدر أساسي من مصادر أمواله.</w:t>
      </w:r>
      <w:r>
        <w:rPr>
          <w:rFonts w:ascii="Traditional Arabic" w:hAnsi="Traditional Arabic" w:cs="Traditional Arabic" w:hint="cs"/>
          <w:sz w:val="28"/>
          <w:szCs w:val="28"/>
          <w:vertAlign w:val="superscript"/>
          <w:rtl/>
          <w:lang w:bidi="ar-DZ"/>
        </w:rPr>
        <w:t>(11)</w:t>
      </w:r>
    </w:p>
    <w:p w:rsidR="00A27CA8" w:rsidRDefault="00A27CA8" w:rsidP="00B72D23">
      <w:pPr>
        <w:bidi/>
        <w:spacing w:line="240" w:lineRule="auto"/>
        <w:jc w:val="center"/>
        <w:rPr>
          <w:rFonts w:ascii="Traditional Arabic" w:hAnsi="Traditional Arabic" w:cs="Traditional Arabic"/>
          <w:b/>
          <w:bCs/>
          <w:sz w:val="28"/>
          <w:szCs w:val="28"/>
          <w:rtl/>
          <w:lang w:bidi="ar-DZ"/>
        </w:rPr>
      </w:pPr>
      <w:r w:rsidRPr="00A27CA8">
        <w:rPr>
          <w:rFonts w:ascii="Traditional Arabic" w:hAnsi="Traditional Arabic" w:cs="Traditional Arabic" w:hint="cs"/>
          <w:b/>
          <w:bCs/>
          <w:sz w:val="28"/>
          <w:szCs w:val="28"/>
          <w:rtl/>
          <w:lang w:bidi="ar-DZ"/>
        </w:rPr>
        <w:t xml:space="preserve">ثانيا: واقع إدارة السيولة في بنك دبي </w:t>
      </w:r>
      <w:r w:rsidR="00C72DF0" w:rsidRPr="00A27CA8">
        <w:rPr>
          <w:rFonts w:ascii="Traditional Arabic" w:hAnsi="Traditional Arabic" w:cs="Traditional Arabic" w:hint="cs"/>
          <w:b/>
          <w:bCs/>
          <w:sz w:val="28"/>
          <w:szCs w:val="28"/>
          <w:rtl/>
          <w:lang w:bidi="ar-DZ"/>
        </w:rPr>
        <w:t>الإسلامي</w:t>
      </w:r>
    </w:p>
    <w:p w:rsidR="00C72DF0" w:rsidRDefault="001D33C2"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C72DF0">
        <w:rPr>
          <w:rFonts w:ascii="Traditional Arabic" w:hAnsi="Traditional Arabic" w:cs="Traditional Arabic" w:hint="cs"/>
          <w:sz w:val="28"/>
          <w:szCs w:val="28"/>
          <w:rtl/>
          <w:lang w:bidi="ar-DZ"/>
        </w:rPr>
        <w:t>إن تقدير مستوى السيولة في أي بنك يكون عن طريق ادارتها وذلك من خلال حساب وتحليل جميع مؤشراتها وتحديد أسباب النتائج المتوصل إليها، وعلى ضوء هذا سيتم حساب وتحليل جميع مؤشرات السيولة في بنك دبي الإسلامي خلال الفترة 2009- 2013 وهي تقيس بصفة عامة قدرته على مقابلة سحوبات العملاء خاصة اصحاب الحسابات الجارية والودائع قصيرة الأجل.</w:t>
      </w:r>
    </w:p>
    <w:p w:rsidR="00C72DF0" w:rsidRDefault="00C72DF0" w:rsidP="00B72D23">
      <w:pPr>
        <w:bidi/>
        <w:spacing w:line="240" w:lineRule="auto"/>
        <w:rPr>
          <w:rFonts w:ascii="Traditional Arabic" w:hAnsi="Traditional Arabic" w:cs="Traditional Arabic"/>
          <w:sz w:val="28"/>
          <w:szCs w:val="28"/>
          <w:rtl/>
          <w:lang w:bidi="ar-DZ"/>
        </w:rPr>
      </w:pPr>
      <w:r w:rsidRPr="00C72DF0">
        <w:rPr>
          <w:rFonts w:ascii="Traditional Arabic" w:hAnsi="Traditional Arabic" w:cs="Traditional Arabic" w:hint="cs"/>
          <w:b/>
          <w:bCs/>
          <w:sz w:val="28"/>
          <w:szCs w:val="28"/>
          <w:rtl/>
          <w:lang w:bidi="ar-DZ"/>
        </w:rPr>
        <w:t xml:space="preserve">1- نسبة الاحتياطي القانوني والسيولة القانونية في بنك دبي </w:t>
      </w:r>
      <w:r>
        <w:rPr>
          <w:rFonts w:ascii="Traditional Arabic" w:hAnsi="Traditional Arabic" w:cs="Traditional Arabic" w:hint="cs"/>
          <w:b/>
          <w:bCs/>
          <w:sz w:val="28"/>
          <w:szCs w:val="28"/>
          <w:rtl/>
          <w:lang w:bidi="ar-DZ"/>
        </w:rPr>
        <w:t xml:space="preserve">الإسلامي: </w:t>
      </w:r>
      <w:r w:rsidRPr="00C72DF0">
        <w:rPr>
          <w:rFonts w:ascii="Traditional Arabic" w:hAnsi="Traditional Arabic" w:cs="Traditional Arabic" w:hint="cs"/>
          <w:sz w:val="28"/>
          <w:szCs w:val="28"/>
          <w:rtl/>
          <w:lang w:bidi="ar-DZ"/>
        </w:rPr>
        <w:t>سوف نقوم بدراسة وتحديد نسبة الاحتياطي القانوني في البنك ثم بعدها نسبة السيولة القانونية.</w:t>
      </w:r>
    </w:p>
    <w:p w:rsidR="00C72DF0" w:rsidRDefault="00C72DF0" w:rsidP="00B72D23">
      <w:pPr>
        <w:bidi/>
        <w:spacing w:line="240" w:lineRule="auto"/>
        <w:rPr>
          <w:rFonts w:ascii="Traditional Arabic" w:hAnsi="Traditional Arabic" w:cs="Traditional Arabic"/>
          <w:sz w:val="28"/>
          <w:szCs w:val="28"/>
          <w:rtl/>
          <w:lang w:bidi="ar-DZ"/>
        </w:rPr>
      </w:pPr>
      <w:r w:rsidRPr="00C72DF0">
        <w:rPr>
          <w:rFonts w:ascii="Traditional Arabic" w:hAnsi="Traditional Arabic" w:cs="Traditional Arabic" w:hint="cs"/>
          <w:b/>
          <w:bCs/>
          <w:sz w:val="28"/>
          <w:szCs w:val="28"/>
          <w:rtl/>
          <w:lang w:bidi="ar-DZ"/>
        </w:rPr>
        <w:t>أ- نسبة الاحتياطي القانوني</w:t>
      </w:r>
      <w:r>
        <w:rPr>
          <w:rFonts w:ascii="Traditional Arabic" w:hAnsi="Traditional Arabic" w:cs="Traditional Arabic" w:hint="cs"/>
          <w:sz w:val="28"/>
          <w:szCs w:val="28"/>
          <w:rtl/>
          <w:lang w:bidi="ar-DZ"/>
        </w:rPr>
        <w:t xml:space="preserve">: </w:t>
      </w:r>
      <w:r w:rsidR="001B0D8A">
        <w:rPr>
          <w:rFonts w:ascii="Traditional Arabic" w:hAnsi="Traditional Arabic" w:cs="Traditional Arabic" w:hint="cs"/>
          <w:sz w:val="28"/>
          <w:szCs w:val="28"/>
          <w:rtl/>
          <w:lang w:bidi="ar-DZ"/>
        </w:rPr>
        <w:t xml:space="preserve">بنك دبي الإسلامي كغيره من البنوك يخضع لقوانين وتعليمات البنك المركزي بدولة الامارات العربية المتحدة، والتي تلزم البنوك بايداع أموالها لديها بدون فائدة توازي نسبة مئوية من الودائع بالإضافة إلى ارصدة أخرى، ويعتمد بنك </w:t>
      </w:r>
      <w:r w:rsidR="001B0D8A">
        <w:rPr>
          <w:rFonts w:ascii="Traditional Arabic" w:hAnsi="Traditional Arabic" w:cs="Traditional Arabic" w:hint="cs"/>
          <w:sz w:val="28"/>
          <w:szCs w:val="28"/>
          <w:rtl/>
          <w:lang w:bidi="ar-DZ"/>
        </w:rPr>
        <w:lastRenderedPageBreak/>
        <w:t>الامارات العربية المتحدة المركزي نسبة الاحتياطي القانوني للتحكم في سياسة الائتمان، فكلما كانت النسبة مرتفعة كلما انخفضت قدرت البنك على منح الائتمان نتيجة انخفاض احتياطاته النقدية وبالتالي انخفاض معدل السيولة في سوق المال ويحدث العكس في حالة انخفاض نسبة الاحتياطي القانوني.</w:t>
      </w:r>
    </w:p>
    <w:p w:rsidR="001B0D8A" w:rsidRPr="00092710" w:rsidRDefault="001B0D8A" w:rsidP="00B72D23">
      <w:pPr>
        <w:bidi/>
        <w:spacing w:line="240" w:lineRule="auto"/>
        <w:rPr>
          <w:rFonts w:ascii="Traditional Arabic" w:hAnsi="Traditional Arabic" w:cs="Traditional Arabic"/>
          <w:sz w:val="28"/>
          <w:szCs w:val="28"/>
          <w:rtl/>
          <w:lang w:bidi="ar-DZ"/>
        </w:rPr>
      </w:pPr>
      <w:r w:rsidRPr="00092710">
        <w:rPr>
          <w:rFonts w:ascii="Traditional Arabic" w:hAnsi="Traditional Arabic" w:cs="Traditional Arabic" w:hint="cs"/>
          <w:sz w:val="28"/>
          <w:szCs w:val="28"/>
          <w:rtl/>
          <w:lang w:bidi="ar-DZ"/>
        </w:rPr>
        <w:t>ويمكن حساب نسبة الاحتياطي القانوني كالتالي:</w:t>
      </w:r>
    </w:p>
    <w:p w:rsidR="001B0D8A" w:rsidRPr="00092710" w:rsidRDefault="001B0D8A"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092710">
        <w:rPr>
          <w:rFonts w:ascii="Traditional Arabic" w:hAnsi="Traditional Arabic" w:cs="Traditional Arabic" w:hint="cs"/>
          <w:b/>
          <w:bCs/>
          <w:sz w:val="28"/>
          <w:szCs w:val="28"/>
          <w:rtl/>
          <w:lang w:bidi="ar-DZ"/>
        </w:rPr>
        <w:t>نسبة الاحتياطي القانوني= أرصدة لدى البنك المركزي/إجمالي الودائع</w:t>
      </w:r>
    </w:p>
    <w:p w:rsidR="008E1A3E" w:rsidRDefault="001B0D8A" w:rsidP="00766938">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فترة الدراسة:</w:t>
      </w:r>
    </w:p>
    <w:p w:rsidR="001B0D8A" w:rsidRPr="001B0D8A" w:rsidRDefault="001B0D8A" w:rsidP="00B72D23">
      <w:pPr>
        <w:bidi/>
        <w:spacing w:line="240" w:lineRule="auto"/>
        <w:jc w:val="center"/>
        <w:rPr>
          <w:rFonts w:ascii="Traditional Arabic" w:hAnsi="Traditional Arabic" w:cs="Traditional Arabic"/>
          <w:b/>
          <w:bCs/>
          <w:sz w:val="28"/>
          <w:szCs w:val="28"/>
          <w:rtl/>
          <w:lang w:bidi="ar-DZ"/>
        </w:rPr>
      </w:pPr>
      <w:r w:rsidRPr="001B0D8A">
        <w:rPr>
          <w:rFonts w:ascii="Traditional Arabic" w:hAnsi="Traditional Arabic" w:cs="Traditional Arabic" w:hint="cs"/>
          <w:b/>
          <w:bCs/>
          <w:sz w:val="28"/>
          <w:szCs w:val="28"/>
          <w:rtl/>
          <w:lang w:bidi="ar-DZ"/>
        </w:rPr>
        <w:t>الجدول رقم (01): تطور نسبة الاحتياطي القانوني خلال الفترة 2009-2013</w:t>
      </w:r>
    </w:p>
    <w:p w:rsidR="001B0D8A" w:rsidRDefault="001B0D8A" w:rsidP="00B72D23">
      <w:pPr>
        <w:bidi/>
        <w:spacing w:line="240" w:lineRule="auto"/>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الوحدة: الف درهم اماراتي</w:t>
      </w:r>
    </w:p>
    <w:tbl>
      <w:tblPr>
        <w:tblStyle w:val="Grilleclaire-Accent11"/>
        <w:bidiVisual/>
        <w:tblW w:w="0" w:type="auto"/>
        <w:tblLook w:val="04A0"/>
      </w:tblPr>
      <w:tblGrid>
        <w:gridCol w:w="2331"/>
        <w:gridCol w:w="2327"/>
        <w:gridCol w:w="2328"/>
        <w:gridCol w:w="2300"/>
      </w:tblGrid>
      <w:tr w:rsidR="001B0D8A" w:rsidTr="00092710">
        <w:trPr>
          <w:cnfStyle w:val="100000000000"/>
        </w:trPr>
        <w:tc>
          <w:tcPr>
            <w:cnfStyle w:val="001000000000"/>
            <w:tcW w:w="2444" w:type="dxa"/>
          </w:tcPr>
          <w:p w:rsidR="001B0D8A" w:rsidRDefault="001B0D8A"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السنوات/البيان</w:t>
            </w:r>
          </w:p>
        </w:tc>
        <w:tc>
          <w:tcPr>
            <w:tcW w:w="2444" w:type="dxa"/>
          </w:tcPr>
          <w:p w:rsidR="001B0D8A" w:rsidRDefault="001B0D8A"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الارصدة لدى البنك المركزي</w:t>
            </w:r>
          </w:p>
        </w:tc>
        <w:tc>
          <w:tcPr>
            <w:tcW w:w="2445" w:type="dxa"/>
          </w:tcPr>
          <w:p w:rsidR="001B0D8A" w:rsidRDefault="001B0D8A"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إجمالي الودائع</w:t>
            </w:r>
          </w:p>
        </w:tc>
        <w:tc>
          <w:tcPr>
            <w:tcW w:w="2445" w:type="dxa"/>
          </w:tcPr>
          <w:p w:rsidR="001B0D8A" w:rsidRDefault="001B0D8A"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نسبة الاحتياطي القانوني</w:t>
            </w:r>
            <w:r>
              <w:rPr>
                <w:rFonts w:ascii="Traditional Arabic" w:hAnsi="Traditional Arabic" w:cs="Traditional Arabic"/>
                <w:sz w:val="28"/>
                <w:szCs w:val="28"/>
                <w:rtl/>
                <w:lang w:bidi="ar-DZ"/>
              </w:rPr>
              <w:t>%</w:t>
            </w:r>
          </w:p>
        </w:tc>
      </w:tr>
      <w:tr w:rsidR="001B0D8A" w:rsidTr="00092710">
        <w:trPr>
          <w:cnfStyle w:val="000000100000"/>
        </w:trPr>
        <w:tc>
          <w:tcPr>
            <w:cnfStyle w:val="001000000000"/>
            <w:tcW w:w="2444" w:type="dxa"/>
          </w:tcPr>
          <w:p w:rsidR="001B0D8A" w:rsidRPr="001B0D8A" w:rsidRDefault="001B0D8A" w:rsidP="00B72D23">
            <w:pPr>
              <w:bidi/>
              <w:rPr>
                <w:rFonts w:ascii="Traditional Arabic" w:hAnsi="Traditional Arabic" w:cs="Traditional Arabic"/>
                <w:sz w:val="28"/>
                <w:szCs w:val="28"/>
                <w:lang w:val="en-ZA" w:bidi="ar-DZ"/>
              </w:rPr>
            </w:pPr>
            <w:r>
              <w:rPr>
                <w:rFonts w:ascii="Traditional Arabic" w:hAnsi="Traditional Arabic" w:cs="Traditional Arabic"/>
                <w:sz w:val="28"/>
                <w:szCs w:val="28"/>
                <w:lang w:val="en-ZA" w:bidi="ar-DZ"/>
              </w:rPr>
              <w:t>2009</w:t>
            </w:r>
          </w:p>
        </w:tc>
        <w:tc>
          <w:tcPr>
            <w:tcW w:w="2444" w:type="dxa"/>
          </w:tcPr>
          <w:p w:rsidR="001B0D8A" w:rsidRDefault="001B0D8A"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1012037</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65644554</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15,41</w:t>
            </w:r>
          </w:p>
        </w:tc>
      </w:tr>
      <w:tr w:rsidR="001B0D8A" w:rsidTr="00092710">
        <w:trPr>
          <w:cnfStyle w:val="000000010000"/>
        </w:trPr>
        <w:tc>
          <w:tcPr>
            <w:cnfStyle w:val="001000000000"/>
            <w:tcW w:w="2444" w:type="dxa"/>
          </w:tcPr>
          <w:p w:rsidR="001B0D8A" w:rsidRDefault="001B0D8A"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2010</w:t>
            </w:r>
          </w:p>
        </w:tc>
        <w:tc>
          <w:tcPr>
            <w:tcW w:w="2444" w:type="dxa"/>
          </w:tcPr>
          <w:p w:rsidR="001B0D8A" w:rsidRDefault="001B0D8A"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9872471</w:t>
            </w:r>
          </w:p>
        </w:tc>
        <w:tc>
          <w:tcPr>
            <w:tcW w:w="2445" w:type="dxa"/>
          </w:tcPr>
          <w:p w:rsidR="001B0D8A" w:rsidRDefault="00D35B4B"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67856497</w:t>
            </w:r>
          </w:p>
        </w:tc>
        <w:tc>
          <w:tcPr>
            <w:tcW w:w="2445" w:type="dxa"/>
          </w:tcPr>
          <w:p w:rsidR="001B0D8A" w:rsidRDefault="00D35B4B"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14,55</w:t>
            </w:r>
          </w:p>
        </w:tc>
      </w:tr>
      <w:tr w:rsidR="001B0D8A" w:rsidTr="00092710">
        <w:trPr>
          <w:cnfStyle w:val="000000100000"/>
        </w:trPr>
        <w:tc>
          <w:tcPr>
            <w:cnfStyle w:val="001000000000"/>
            <w:tcW w:w="2444" w:type="dxa"/>
          </w:tcPr>
          <w:p w:rsidR="001B0D8A" w:rsidRDefault="001B0D8A"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2011</w:t>
            </w:r>
          </w:p>
        </w:tc>
        <w:tc>
          <w:tcPr>
            <w:tcW w:w="2444" w:type="dxa"/>
          </w:tcPr>
          <w:p w:rsidR="001B0D8A" w:rsidRDefault="001B0D8A"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11457902</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68823350</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16,65</w:t>
            </w:r>
          </w:p>
        </w:tc>
      </w:tr>
      <w:tr w:rsidR="001B0D8A" w:rsidTr="00092710">
        <w:trPr>
          <w:cnfStyle w:val="000000010000"/>
        </w:trPr>
        <w:tc>
          <w:tcPr>
            <w:cnfStyle w:val="001000000000"/>
            <w:tcW w:w="2444" w:type="dxa"/>
          </w:tcPr>
          <w:p w:rsidR="001B0D8A" w:rsidRDefault="001B0D8A"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2012</w:t>
            </w:r>
          </w:p>
        </w:tc>
        <w:tc>
          <w:tcPr>
            <w:tcW w:w="2444" w:type="dxa"/>
          </w:tcPr>
          <w:p w:rsidR="001B0D8A" w:rsidRDefault="001B0D8A"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13741965</w:t>
            </w:r>
          </w:p>
        </w:tc>
        <w:tc>
          <w:tcPr>
            <w:tcW w:w="2445" w:type="dxa"/>
          </w:tcPr>
          <w:p w:rsidR="001B0D8A" w:rsidRDefault="00D35B4B"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72959141</w:t>
            </w:r>
          </w:p>
        </w:tc>
        <w:tc>
          <w:tcPr>
            <w:tcW w:w="2445" w:type="dxa"/>
          </w:tcPr>
          <w:p w:rsidR="001B0D8A" w:rsidRDefault="00D35B4B"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18,84</w:t>
            </w:r>
          </w:p>
        </w:tc>
      </w:tr>
      <w:tr w:rsidR="001B0D8A" w:rsidTr="00092710">
        <w:trPr>
          <w:cnfStyle w:val="000000100000"/>
        </w:trPr>
        <w:tc>
          <w:tcPr>
            <w:cnfStyle w:val="001000000000"/>
            <w:tcW w:w="2444" w:type="dxa"/>
          </w:tcPr>
          <w:p w:rsidR="001B0D8A" w:rsidRDefault="001B0D8A"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2013</w:t>
            </w:r>
          </w:p>
        </w:tc>
        <w:tc>
          <w:tcPr>
            <w:tcW w:w="2444" w:type="dxa"/>
          </w:tcPr>
          <w:p w:rsidR="001B0D8A" w:rsidRDefault="001B0D8A"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20971972</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81690547</w:t>
            </w:r>
          </w:p>
        </w:tc>
        <w:tc>
          <w:tcPr>
            <w:tcW w:w="2445" w:type="dxa"/>
          </w:tcPr>
          <w:p w:rsidR="001B0D8A" w:rsidRDefault="00D35B4B"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25,67</w:t>
            </w:r>
          </w:p>
        </w:tc>
      </w:tr>
      <w:tr w:rsidR="001B0D8A" w:rsidTr="00092710">
        <w:trPr>
          <w:cnfStyle w:val="000000010000"/>
        </w:trPr>
        <w:tc>
          <w:tcPr>
            <w:cnfStyle w:val="001000000000"/>
            <w:tcW w:w="2444" w:type="dxa"/>
          </w:tcPr>
          <w:p w:rsidR="001B0D8A" w:rsidRDefault="00D35B4B"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المتوسط</w:t>
            </w:r>
          </w:p>
        </w:tc>
        <w:tc>
          <w:tcPr>
            <w:tcW w:w="2444" w:type="dxa"/>
          </w:tcPr>
          <w:p w:rsidR="001B0D8A" w:rsidRDefault="001B0D8A" w:rsidP="00B72D23">
            <w:pPr>
              <w:bidi/>
              <w:cnfStyle w:val="000000010000"/>
              <w:rPr>
                <w:rFonts w:ascii="Traditional Arabic" w:hAnsi="Traditional Arabic" w:cs="Traditional Arabic"/>
                <w:sz w:val="28"/>
                <w:szCs w:val="28"/>
                <w:rtl/>
                <w:lang w:bidi="ar-DZ"/>
              </w:rPr>
            </w:pPr>
          </w:p>
        </w:tc>
        <w:tc>
          <w:tcPr>
            <w:tcW w:w="2445" w:type="dxa"/>
          </w:tcPr>
          <w:p w:rsidR="001B0D8A" w:rsidRDefault="001B0D8A" w:rsidP="00B72D23">
            <w:pPr>
              <w:bidi/>
              <w:cnfStyle w:val="000000010000"/>
              <w:rPr>
                <w:rFonts w:ascii="Traditional Arabic" w:hAnsi="Traditional Arabic" w:cs="Traditional Arabic"/>
                <w:sz w:val="28"/>
                <w:szCs w:val="28"/>
                <w:rtl/>
                <w:lang w:bidi="ar-DZ"/>
              </w:rPr>
            </w:pPr>
          </w:p>
        </w:tc>
        <w:tc>
          <w:tcPr>
            <w:tcW w:w="2445" w:type="dxa"/>
          </w:tcPr>
          <w:p w:rsidR="001B0D8A" w:rsidRDefault="00D35B4B"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18,22</w:t>
            </w:r>
          </w:p>
        </w:tc>
      </w:tr>
    </w:tbl>
    <w:p w:rsidR="001D33C2" w:rsidRPr="008E1A3E" w:rsidRDefault="00D35B4B" w:rsidP="008E1A3E">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من إعداد الباحثان بالاعتماد على التقارير المالية لبنك دبي الإسلامي خلال الفترة 2009-2013</w:t>
      </w:r>
    </w:p>
    <w:p w:rsidR="00D35B4B" w:rsidRPr="00D35B4B" w:rsidRDefault="00D35B4B" w:rsidP="00B72D23">
      <w:pPr>
        <w:bidi/>
        <w:spacing w:line="240" w:lineRule="auto"/>
        <w:jc w:val="center"/>
        <w:rPr>
          <w:rFonts w:ascii="Traditional Arabic" w:hAnsi="Traditional Arabic" w:cs="Traditional Arabic"/>
          <w:b/>
          <w:bCs/>
          <w:sz w:val="28"/>
          <w:szCs w:val="28"/>
          <w:rtl/>
          <w:lang w:bidi="ar-DZ"/>
        </w:rPr>
      </w:pPr>
      <w:r w:rsidRPr="00D35B4B">
        <w:rPr>
          <w:rFonts w:ascii="Traditional Arabic" w:hAnsi="Traditional Arabic" w:cs="Traditional Arabic" w:hint="cs"/>
          <w:b/>
          <w:bCs/>
          <w:sz w:val="28"/>
          <w:szCs w:val="28"/>
          <w:rtl/>
          <w:lang w:bidi="ar-DZ"/>
        </w:rPr>
        <w:t>الشكل رقم (01): تطور نسبة الاحتياطي القانوني في بنك دبي الإسلامي خلال الفترة 2009-2013</w:t>
      </w:r>
    </w:p>
    <w:p w:rsidR="001B0D8A" w:rsidRPr="00C72DF0" w:rsidRDefault="00D30244"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noProof/>
          <w:sz w:val="28"/>
          <w:szCs w:val="28"/>
          <w:rtl/>
          <w:lang w:val="en-US"/>
        </w:rPr>
        <w:drawing>
          <wp:inline distT="0" distB="0" distL="0" distR="0">
            <wp:extent cx="4790457" cy="2303178"/>
            <wp:effectExtent l="19050" t="0" r="10143" b="1872"/>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66D1" w:rsidRPr="001D33C2" w:rsidRDefault="00E166D1"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من إعداد الباحثان اعتمادا على التقارير المالية لبنك دبي الإسلامي خلال الفترة 2009-2013</w:t>
      </w:r>
    </w:p>
    <w:p w:rsidR="00E166D1" w:rsidRDefault="00E166D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من خلال الجدول السابق نلاحظ ما يلي: </w:t>
      </w:r>
    </w:p>
    <w:p w:rsidR="00E166D1" w:rsidRDefault="00E166D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أن نسبة الاحتياطي القانوني تتغير من فترة لاخرى حيث كانت سنة 2009 تقدر ب: 15,41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لتنخفض إلى 14,55 سنة 2010 بعدها بقيت في تزايد مستمر وصولا إلى سنة 2013 بنسبة 25,67</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وهذه النسبة تعتبر قيمة شاذة مما يجعل متوسط النسب البالغ 18,22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وسبب هذه القيمة الشاذة يرجع إلى زيادة الاحتياطات الأخرى واسهم الخزينة نتيجة للاستحواذ الذي قام به البنك سنة 2013 حيث تم الاستحواذ 100</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على شركة تمويل، مما أدى إلى زيادة الاحتياطات الخاصة ببنك دبي الإسلامي.</w:t>
      </w:r>
    </w:p>
    <w:p w:rsidR="00E166D1" w:rsidRDefault="00E166D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وباستبعاد هذه القيمة الشاذة يصبح المتوسط 16,36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ومنه فان المستوى المقبول للاحتياطي القانوني في بنك دبي الإسلامي ينحصر بين 18,22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16,33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وهو مستوى جيد لأنه تعدى النسبة المفروضة من طرف البنك المركزي والمقدرة ب 10</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E166D1" w:rsidRDefault="009D154F"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ومن خلال ملاحظة التقارير المالية السنوية لبنك دبي الإسلامي خلال الفترة 2009-2013 تبين وجود بند مستقل في الإيضاحات المالية المرفقة بالميزانية العمومية للبنك خصوصا الأرصدة لدى البنك المركزي، وما يلاحظ في هذه التقارير أن النسبة العالية من موارد البنك تتمثل في الحسابات الاستثمارية مقارنة بباقي الحسابات الأخرى، وبالتالي فان الاحتياطي القانوني المفروض على إجمالي الحسابات الخاصة بالبنوك الإسلامية من طرف البنك المركزي يعطل جزءا كبيرا من حسابات الاستثمار دون التوظيف في الوقت الذي ينبغي فيه على البنك أن يدفع عنها عوائد لأصحابها مما يخفض في النهاية نسبة العائد الموزع على حسابات الاستثمار.</w:t>
      </w:r>
    </w:p>
    <w:p w:rsidR="00E2059A" w:rsidRDefault="009D154F" w:rsidP="008E1A3E">
      <w:pPr>
        <w:bidi/>
        <w:spacing w:line="240" w:lineRule="auto"/>
        <w:rPr>
          <w:rFonts w:ascii="Traditional Arabic" w:hAnsi="Traditional Arabic" w:cs="Traditional Arabic"/>
          <w:sz w:val="28"/>
          <w:szCs w:val="28"/>
          <w:rtl/>
          <w:lang w:bidi="ar-DZ"/>
        </w:rPr>
      </w:pPr>
      <w:r w:rsidRPr="009D154F">
        <w:rPr>
          <w:rFonts w:ascii="Traditional Arabic" w:hAnsi="Traditional Arabic" w:cs="Traditional Arabic" w:hint="cs"/>
          <w:b/>
          <w:bCs/>
          <w:sz w:val="28"/>
          <w:szCs w:val="28"/>
          <w:rtl/>
          <w:lang w:bidi="ar-DZ"/>
        </w:rPr>
        <w:t>ب- نسبة السيولة القانونية</w:t>
      </w:r>
      <w:r>
        <w:rPr>
          <w:rFonts w:ascii="Traditional Arabic" w:hAnsi="Traditional Arabic" w:cs="Traditional Arabic" w:hint="cs"/>
          <w:sz w:val="28"/>
          <w:szCs w:val="28"/>
          <w:rtl/>
          <w:lang w:bidi="ar-DZ"/>
        </w:rPr>
        <w:t>: تدل على مدى قدرة البنك على الوفاء بالتزاماته قصيرة الأجل بالاعتماد على النقدية الجاهزة وما يشبهها وكلما كانت هذه النسبة مرتفعة كان ذلك مؤشرا جيدا وايجابيا للبنك.</w:t>
      </w:r>
    </w:p>
    <w:p w:rsidR="009D154F" w:rsidRDefault="009D154F"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قياس نسبة السيولة القانونية كالتالي:</w:t>
      </w:r>
    </w:p>
    <w:p w:rsidR="009D154F" w:rsidRDefault="009D154F"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نسبة السيولة القانونية= النقدية والأصول التي يمكن تحويلها إلى نقدية سريعة/الالتزامات قصيرة الأجل</w:t>
      </w:r>
    </w:p>
    <w:p w:rsidR="009D154F" w:rsidRDefault="009D154F"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فترة الدراسة:</w:t>
      </w:r>
    </w:p>
    <w:p w:rsidR="009D154F" w:rsidRPr="009D154F" w:rsidRDefault="009D154F" w:rsidP="00B72D23">
      <w:pPr>
        <w:bidi/>
        <w:spacing w:line="240" w:lineRule="auto"/>
        <w:jc w:val="center"/>
        <w:rPr>
          <w:rFonts w:ascii="Traditional Arabic" w:hAnsi="Traditional Arabic" w:cs="Traditional Arabic"/>
          <w:b/>
          <w:bCs/>
          <w:sz w:val="28"/>
          <w:szCs w:val="28"/>
          <w:rtl/>
          <w:lang w:bidi="ar-DZ"/>
        </w:rPr>
      </w:pPr>
      <w:r w:rsidRPr="009D154F">
        <w:rPr>
          <w:rFonts w:ascii="Traditional Arabic" w:hAnsi="Traditional Arabic" w:cs="Traditional Arabic" w:hint="cs"/>
          <w:b/>
          <w:bCs/>
          <w:sz w:val="28"/>
          <w:szCs w:val="28"/>
          <w:rtl/>
          <w:lang w:bidi="ar-DZ"/>
        </w:rPr>
        <w:t>الجدول رقم (02): تطور نسبة السيولة القانونية خلال الفترة 2009-2013</w:t>
      </w:r>
    </w:p>
    <w:p w:rsidR="009D154F" w:rsidRDefault="009D154F" w:rsidP="00B72D23">
      <w:pPr>
        <w:bidi/>
        <w:spacing w:line="240" w:lineRule="auto"/>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الوحدة: الف درهم اماراتي.</w:t>
      </w:r>
    </w:p>
    <w:tbl>
      <w:tblPr>
        <w:tblStyle w:val="Grilleclaire-Accent11"/>
        <w:bidiVisual/>
        <w:tblW w:w="0" w:type="auto"/>
        <w:tblLayout w:type="fixed"/>
        <w:tblLook w:val="04A0"/>
      </w:tblPr>
      <w:tblGrid>
        <w:gridCol w:w="957"/>
        <w:gridCol w:w="2552"/>
        <w:gridCol w:w="1701"/>
        <w:gridCol w:w="1559"/>
        <w:gridCol w:w="1701"/>
        <w:gridCol w:w="1308"/>
      </w:tblGrid>
      <w:tr w:rsidR="00697B0F" w:rsidTr="00092710">
        <w:trPr>
          <w:cnfStyle w:val="100000000000"/>
        </w:trPr>
        <w:tc>
          <w:tcPr>
            <w:cnfStyle w:val="001000000000"/>
            <w:tcW w:w="957" w:type="dxa"/>
          </w:tcPr>
          <w:p w:rsidR="005F014D" w:rsidRDefault="005F014D"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السنوات/البيان</w:t>
            </w:r>
          </w:p>
        </w:tc>
        <w:tc>
          <w:tcPr>
            <w:tcW w:w="2552" w:type="dxa"/>
          </w:tcPr>
          <w:p w:rsidR="005F014D" w:rsidRDefault="005F014D"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الأصول النقدية </w:t>
            </w:r>
            <w:r w:rsidR="00697B0F">
              <w:rPr>
                <w:rFonts w:ascii="Traditional Arabic" w:hAnsi="Traditional Arabic" w:cs="Traditional Arabic" w:hint="cs"/>
                <w:sz w:val="28"/>
                <w:szCs w:val="28"/>
                <w:rtl/>
                <w:lang w:bidi="ar-DZ"/>
              </w:rPr>
              <w:t>(نقدية ارصدة لدى البنوك المركزية الارصدة والودائع لدى المصارف والمؤسسات المالية الأخرى)</w:t>
            </w:r>
          </w:p>
        </w:tc>
        <w:tc>
          <w:tcPr>
            <w:tcW w:w="1701" w:type="dxa"/>
          </w:tcPr>
          <w:p w:rsidR="005F014D" w:rsidRDefault="005F014D"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بنود شبه النقد</w:t>
            </w:r>
            <w:r w:rsidR="00697B0F">
              <w:rPr>
                <w:rFonts w:ascii="Traditional Arabic" w:hAnsi="Traditional Arabic" w:cs="Traditional Arabic" w:hint="cs"/>
                <w:sz w:val="28"/>
                <w:szCs w:val="28"/>
                <w:rtl/>
                <w:lang w:bidi="ar-DZ"/>
              </w:rPr>
              <w:t xml:space="preserve"> (مرابحات دولية قصيرة الأجل مع مؤسسات)</w:t>
            </w:r>
          </w:p>
        </w:tc>
        <w:tc>
          <w:tcPr>
            <w:tcW w:w="1559" w:type="dxa"/>
          </w:tcPr>
          <w:p w:rsidR="005F014D" w:rsidRDefault="005F014D"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مجموع الأصول السائلة</w:t>
            </w:r>
          </w:p>
        </w:tc>
        <w:tc>
          <w:tcPr>
            <w:tcW w:w="1701" w:type="dxa"/>
          </w:tcPr>
          <w:p w:rsidR="005F014D" w:rsidRDefault="005F014D"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الالتزامات قصيرة الاجل</w:t>
            </w:r>
          </w:p>
        </w:tc>
        <w:tc>
          <w:tcPr>
            <w:tcW w:w="1308" w:type="dxa"/>
          </w:tcPr>
          <w:p w:rsidR="005F014D" w:rsidRDefault="005F014D"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نسبة السيولة النقدية </w:t>
            </w:r>
            <w:r>
              <w:rPr>
                <w:rFonts w:ascii="Traditional Arabic" w:hAnsi="Traditional Arabic" w:cs="Traditional Arabic"/>
                <w:sz w:val="28"/>
                <w:szCs w:val="28"/>
                <w:rtl/>
                <w:lang w:bidi="ar-DZ"/>
              </w:rPr>
              <w:t>%</w:t>
            </w:r>
          </w:p>
        </w:tc>
      </w:tr>
      <w:tr w:rsidR="00697B0F" w:rsidTr="00092710">
        <w:trPr>
          <w:cnfStyle w:val="000000100000"/>
        </w:trPr>
        <w:tc>
          <w:tcPr>
            <w:cnfStyle w:val="001000000000"/>
            <w:tcW w:w="957" w:type="dxa"/>
          </w:tcPr>
          <w:p w:rsidR="005F014D" w:rsidRPr="005F014D" w:rsidRDefault="005F014D" w:rsidP="00B72D23">
            <w:pPr>
              <w:bidi/>
              <w:rPr>
                <w:rFonts w:ascii="Traditional Arabic" w:hAnsi="Traditional Arabic" w:cs="Traditional Arabic"/>
                <w:sz w:val="28"/>
                <w:szCs w:val="28"/>
                <w:lang w:val="en-ZA" w:bidi="ar-DZ"/>
              </w:rPr>
            </w:pPr>
            <w:r>
              <w:rPr>
                <w:rFonts w:ascii="Traditional Arabic" w:hAnsi="Traditional Arabic" w:cs="Traditional Arabic"/>
                <w:sz w:val="28"/>
                <w:szCs w:val="28"/>
                <w:lang w:val="en-ZA" w:bidi="ar-DZ"/>
              </w:rPr>
              <w:t>2009</w:t>
            </w:r>
          </w:p>
        </w:tc>
        <w:tc>
          <w:tcPr>
            <w:tcW w:w="2552" w:type="dxa"/>
          </w:tcPr>
          <w:p w:rsidR="005F014D" w:rsidRPr="00D30244" w:rsidRDefault="00D30244" w:rsidP="00B72D23">
            <w:pPr>
              <w:bidi/>
              <w:cnfStyle w:val="000000100000"/>
              <w:rPr>
                <w:rFonts w:ascii="Traditional Arabic" w:hAnsi="Traditional Arabic" w:cs="Traditional Arabic"/>
                <w:sz w:val="28"/>
                <w:szCs w:val="28"/>
                <w:lang w:val="en-ZA" w:bidi="ar-DZ"/>
              </w:rPr>
            </w:pPr>
            <w:r>
              <w:rPr>
                <w:rFonts w:ascii="Traditional Arabic" w:hAnsi="Traditional Arabic" w:cs="Traditional Arabic"/>
                <w:sz w:val="28"/>
                <w:szCs w:val="28"/>
                <w:lang w:val="en-ZA" w:bidi="ar-DZ"/>
              </w:rPr>
              <w:t>12963869</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1204959</w:t>
            </w:r>
          </w:p>
        </w:tc>
        <w:tc>
          <w:tcPr>
            <w:tcW w:w="1559"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14168828</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49823303</w:t>
            </w:r>
          </w:p>
        </w:tc>
        <w:tc>
          <w:tcPr>
            <w:tcW w:w="1308" w:type="dxa"/>
          </w:tcPr>
          <w:p w:rsidR="005F014D" w:rsidRDefault="00697B0F"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28,44</w:t>
            </w:r>
          </w:p>
        </w:tc>
      </w:tr>
      <w:tr w:rsidR="00697B0F" w:rsidTr="00092710">
        <w:trPr>
          <w:cnfStyle w:val="000000010000"/>
        </w:trPr>
        <w:tc>
          <w:tcPr>
            <w:cnfStyle w:val="001000000000"/>
            <w:tcW w:w="957" w:type="dxa"/>
          </w:tcPr>
          <w:p w:rsidR="005F014D" w:rsidRDefault="005F014D"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2010</w:t>
            </w:r>
          </w:p>
        </w:tc>
        <w:tc>
          <w:tcPr>
            <w:tcW w:w="2552"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12335646</w:t>
            </w:r>
          </w:p>
        </w:tc>
        <w:tc>
          <w:tcPr>
            <w:tcW w:w="1701"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1268110</w:t>
            </w:r>
          </w:p>
        </w:tc>
        <w:tc>
          <w:tcPr>
            <w:tcW w:w="1559"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13603756</w:t>
            </w:r>
          </w:p>
        </w:tc>
        <w:tc>
          <w:tcPr>
            <w:tcW w:w="1701"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48905247</w:t>
            </w:r>
          </w:p>
        </w:tc>
        <w:tc>
          <w:tcPr>
            <w:tcW w:w="1308" w:type="dxa"/>
          </w:tcPr>
          <w:p w:rsidR="005F014D" w:rsidRDefault="00697B0F"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27,81</w:t>
            </w:r>
          </w:p>
        </w:tc>
      </w:tr>
      <w:tr w:rsidR="00697B0F" w:rsidTr="00092710">
        <w:trPr>
          <w:cnfStyle w:val="000000100000"/>
        </w:trPr>
        <w:tc>
          <w:tcPr>
            <w:cnfStyle w:val="001000000000"/>
            <w:tcW w:w="957" w:type="dxa"/>
          </w:tcPr>
          <w:p w:rsidR="005F014D" w:rsidRDefault="005F014D"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lastRenderedPageBreak/>
              <w:t>2011</w:t>
            </w:r>
          </w:p>
        </w:tc>
        <w:tc>
          <w:tcPr>
            <w:tcW w:w="2552"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14197458</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1797957</w:t>
            </w:r>
          </w:p>
        </w:tc>
        <w:tc>
          <w:tcPr>
            <w:tcW w:w="1559"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15995415</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50606075</w:t>
            </w:r>
          </w:p>
        </w:tc>
        <w:tc>
          <w:tcPr>
            <w:tcW w:w="1308" w:type="dxa"/>
          </w:tcPr>
          <w:p w:rsidR="005F014D" w:rsidRDefault="00697B0F"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31,60</w:t>
            </w:r>
          </w:p>
        </w:tc>
      </w:tr>
      <w:tr w:rsidR="00697B0F" w:rsidTr="00092710">
        <w:trPr>
          <w:cnfStyle w:val="000000010000"/>
        </w:trPr>
        <w:tc>
          <w:tcPr>
            <w:cnfStyle w:val="001000000000"/>
            <w:tcW w:w="957" w:type="dxa"/>
          </w:tcPr>
          <w:p w:rsidR="005F014D" w:rsidRDefault="005F014D"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2012</w:t>
            </w:r>
          </w:p>
        </w:tc>
        <w:tc>
          <w:tcPr>
            <w:tcW w:w="2552"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16893529</w:t>
            </w:r>
          </w:p>
        </w:tc>
        <w:tc>
          <w:tcPr>
            <w:tcW w:w="1701"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1749134</w:t>
            </w:r>
          </w:p>
        </w:tc>
        <w:tc>
          <w:tcPr>
            <w:tcW w:w="1559"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18642663</w:t>
            </w:r>
          </w:p>
        </w:tc>
        <w:tc>
          <w:tcPr>
            <w:tcW w:w="1701" w:type="dxa"/>
          </w:tcPr>
          <w:p w:rsidR="005F014D" w:rsidRDefault="00D30244"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43630237</w:t>
            </w:r>
          </w:p>
        </w:tc>
        <w:tc>
          <w:tcPr>
            <w:tcW w:w="1308" w:type="dxa"/>
          </w:tcPr>
          <w:p w:rsidR="005F014D" w:rsidRDefault="00697B0F"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42,72</w:t>
            </w:r>
          </w:p>
        </w:tc>
      </w:tr>
      <w:tr w:rsidR="00697B0F" w:rsidTr="00092710">
        <w:trPr>
          <w:cnfStyle w:val="000000100000"/>
        </w:trPr>
        <w:tc>
          <w:tcPr>
            <w:cnfStyle w:val="001000000000"/>
            <w:tcW w:w="957" w:type="dxa"/>
          </w:tcPr>
          <w:p w:rsidR="005F014D" w:rsidRDefault="005F014D"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2013</w:t>
            </w:r>
          </w:p>
        </w:tc>
        <w:tc>
          <w:tcPr>
            <w:tcW w:w="2552"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26948271</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5370061</w:t>
            </w:r>
          </w:p>
        </w:tc>
        <w:tc>
          <w:tcPr>
            <w:tcW w:w="1559"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32318332</w:t>
            </w:r>
          </w:p>
        </w:tc>
        <w:tc>
          <w:tcPr>
            <w:tcW w:w="1701" w:type="dxa"/>
          </w:tcPr>
          <w:p w:rsidR="005F014D" w:rsidRDefault="00D30244"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72743682</w:t>
            </w:r>
          </w:p>
        </w:tc>
        <w:tc>
          <w:tcPr>
            <w:tcW w:w="1308" w:type="dxa"/>
          </w:tcPr>
          <w:p w:rsidR="005F014D" w:rsidRDefault="00697B0F"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44,43</w:t>
            </w:r>
          </w:p>
        </w:tc>
      </w:tr>
      <w:tr w:rsidR="00697B0F" w:rsidTr="00092710">
        <w:trPr>
          <w:cnfStyle w:val="000000010000"/>
        </w:trPr>
        <w:tc>
          <w:tcPr>
            <w:cnfStyle w:val="001000000000"/>
            <w:tcW w:w="957" w:type="dxa"/>
          </w:tcPr>
          <w:p w:rsidR="005F014D" w:rsidRDefault="00697B0F"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المتوسط</w:t>
            </w:r>
          </w:p>
        </w:tc>
        <w:tc>
          <w:tcPr>
            <w:tcW w:w="2552" w:type="dxa"/>
          </w:tcPr>
          <w:p w:rsidR="005F014D" w:rsidRDefault="005F014D" w:rsidP="00B72D23">
            <w:pPr>
              <w:bidi/>
              <w:cnfStyle w:val="000000010000"/>
              <w:rPr>
                <w:rFonts w:ascii="Traditional Arabic" w:hAnsi="Traditional Arabic" w:cs="Traditional Arabic"/>
                <w:sz w:val="28"/>
                <w:szCs w:val="28"/>
                <w:rtl/>
                <w:lang w:bidi="ar-DZ"/>
              </w:rPr>
            </w:pPr>
          </w:p>
        </w:tc>
        <w:tc>
          <w:tcPr>
            <w:tcW w:w="1701" w:type="dxa"/>
          </w:tcPr>
          <w:p w:rsidR="005F014D" w:rsidRDefault="005F014D" w:rsidP="00B72D23">
            <w:pPr>
              <w:bidi/>
              <w:cnfStyle w:val="000000010000"/>
              <w:rPr>
                <w:rFonts w:ascii="Traditional Arabic" w:hAnsi="Traditional Arabic" w:cs="Traditional Arabic"/>
                <w:sz w:val="28"/>
                <w:szCs w:val="28"/>
                <w:rtl/>
                <w:lang w:bidi="ar-DZ"/>
              </w:rPr>
            </w:pPr>
          </w:p>
        </w:tc>
        <w:tc>
          <w:tcPr>
            <w:tcW w:w="1559" w:type="dxa"/>
          </w:tcPr>
          <w:p w:rsidR="005F014D" w:rsidRDefault="005F014D" w:rsidP="00B72D23">
            <w:pPr>
              <w:bidi/>
              <w:cnfStyle w:val="000000010000"/>
              <w:rPr>
                <w:rFonts w:ascii="Traditional Arabic" w:hAnsi="Traditional Arabic" w:cs="Traditional Arabic"/>
                <w:sz w:val="28"/>
                <w:szCs w:val="28"/>
                <w:rtl/>
                <w:lang w:bidi="ar-DZ"/>
              </w:rPr>
            </w:pPr>
          </w:p>
        </w:tc>
        <w:tc>
          <w:tcPr>
            <w:tcW w:w="1701" w:type="dxa"/>
          </w:tcPr>
          <w:p w:rsidR="005F014D" w:rsidRDefault="005F014D" w:rsidP="00B72D23">
            <w:pPr>
              <w:bidi/>
              <w:cnfStyle w:val="000000010000"/>
              <w:rPr>
                <w:rFonts w:ascii="Traditional Arabic" w:hAnsi="Traditional Arabic" w:cs="Traditional Arabic"/>
                <w:sz w:val="28"/>
                <w:szCs w:val="28"/>
                <w:rtl/>
                <w:lang w:bidi="ar-DZ"/>
              </w:rPr>
            </w:pPr>
          </w:p>
        </w:tc>
        <w:tc>
          <w:tcPr>
            <w:tcW w:w="1308" w:type="dxa"/>
          </w:tcPr>
          <w:p w:rsidR="005F014D" w:rsidRDefault="00697B0F"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35</w:t>
            </w:r>
          </w:p>
        </w:tc>
      </w:tr>
    </w:tbl>
    <w:p w:rsidR="009D154F" w:rsidRPr="001D33C2" w:rsidRDefault="00697B0F"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من إعداد الباحثان اعتمادا على التقارير المالية لبنك دبي الإسلامي خلال الفترة 2009-2013</w:t>
      </w:r>
    </w:p>
    <w:p w:rsidR="008E1A3E" w:rsidRDefault="00697B0F" w:rsidP="00766938">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تلخيص الجدول السابق في الشكل الموالي:</w:t>
      </w:r>
    </w:p>
    <w:p w:rsidR="00697B0F" w:rsidRPr="00697B0F" w:rsidRDefault="00697B0F" w:rsidP="00B72D23">
      <w:pPr>
        <w:bidi/>
        <w:spacing w:line="240" w:lineRule="auto"/>
        <w:jc w:val="center"/>
        <w:rPr>
          <w:rFonts w:ascii="Traditional Arabic" w:hAnsi="Traditional Arabic" w:cs="Traditional Arabic"/>
          <w:b/>
          <w:bCs/>
          <w:sz w:val="28"/>
          <w:szCs w:val="28"/>
          <w:rtl/>
          <w:lang w:bidi="ar-DZ"/>
        </w:rPr>
      </w:pPr>
      <w:r w:rsidRPr="00697B0F">
        <w:rPr>
          <w:rFonts w:ascii="Traditional Arabic" w:hAnsi="Traditional Arabic" w:cs="Traditional Arabic" w:hint="cs"/>
          <w:b/>
          <w:bCs/>
          <w:sz w:val="28"/>
          <w:szCs w:val="28"/>
          <w:rtl/>
          <w:lang w:bidi="ar-DZ"/>
        </w:rPr>
        <w:t>الشكل رقم (02): تطور نسبة السيولة القانونية في بنك دبي الإسلامي خلال 2009-2013</w:t>
      </w:r>
    </w:p>
    <w:p w:rsidR="00E166D1" w:rsidRDefault="00697B0F"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noProof/>
          <w:sz w:val="28"/>
          <w:szCs w:val="28"/>
          <w:rtl/>
          <w:lang w:val="en-US"/>
        </w:rPr>
        <w:drawing>
          <wp:inline distT="0" distB="0" distL="0" distR="0">
            <wp:extent cx="4668245" cy="2158314"/>
            <wp:effectExtent l="19050" t="0" r="1805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B0F" w:rsidRPr="001D33C2" w:rsidRDefault="00697B0F"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xml:space="preserve"> من إعداد الباحثان اعتمادا على التقارير المالية لبنك دبي الإسلامي خلال 2009-2013</w:t>
      </w:r>
    </w:p>
    <w:p w:rsidR="00697B0F" w:rsidRDefault="00697B0F"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من الجدول أعلاه الذي يوضح لنا مستوى سيولة بنك دبي الإسلامي والمعلومات والبيانات المنشورة من قبل البنك في تقاريره يتضح لنا ما يلي:</w:t>
      </w:r>
    </w:p>
    <w:p w:rsidR="00697B0F" w:rsidRDefault="00260DF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نسبة السيولة النقدية للبنك متغيرة ومتقلبة من سنة لاخرى، إذ تتراوح ما بين 27,81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44,43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حيث كانت مرتفعة سنة 2009 بنسبة 28,44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ثم انخفضت خلال سنة 2010 إلى 27,81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وبعدها بقيت في تزايد وارتفاع خاصة سنتي 2012 و 2013 حيث قدرت على التوالي بــــــــ: 42,72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44,43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260DF6" w:rsidRDefault="00260DF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وهتين القيمتين </w:t>
      </w:r>
      <w:r w:rsidR="00E2059A">
        <w:rPr>
          <w:rFonts w:ascii="Traditional Arabic" w:hAnsi="Traditional Arabic" w:cs="Traditional Arabic" w:hint="cs"/>
          <w:sz w:val="28"/>
          <w:szCs w:val="28"/>
          <w:rtl/>
          <w:lang w:bidi="ar-DZ"/>
        </w:rPr>
        <w:t>الأخيرتين</w:t>
      </w:r>
      <w:r>
        <w:rPr>
          <w:rFonts w:ascii="Traditional Arabic" w:hAnsi="Traditional Arabic" w:cs="Traditional Arabic" w:hint="cs"/>
          <w:sz w:val="28"/>
          <w:szCs w:val="28"/>
          <w:rtl/>
          <w:lang w:bidi="ar-DZ"/>
        </w:rPr>
        <w:t xml:space="preserve"> تعتبران قيم شاذة، وسبب ارتفاع القيمة سنة 2012 كان نتيجة لظهور بوادر الانفراج من ازمة دبي التي شهدتها الساحة المصرفية </w:t>
      </w:r>
      <w:r w:rsidR="00E2059A">
        <w:rPr>
          <w:rFonts w:ascii="Traditional Arabic" w:hAnsi="Traditional Arabic" w:cs="Traditional Arabic" w:hint="cs"/>
          <w:sz w:val="28"/>
          <w:szCs w:val="28"/>
          <w:rtl/>
          <w:lang w:bidi="ar-DZ"/>
        </w:rPr>
        <w:t>الإماراتية</w:t>
      </w:r>
      <w:r>
        <w:rPr>
          <w:rFonts w:ascii="Traditional Arabic" w:hAnsi="Traditional Arabic" w:cs="Traditional Arabic" w:hint="cs"/>
          <w:sz w:val="28"/>
          <w:szCs w:val="28"/>
          <w:rtl/>
          <w:lang w:bidi="ar-DZ"/>
        </w:rPr>
        <w:t xml:space="preserve"> والتي كانت لها انعكاساتها سلبية على نشاط البنوك، وبعد تطبيق السلطات النقدية عدة إجراءات للخروج منها، </w:t>
      </w:r>
      <w:r w:rsidR="00E2059A">
        <w:rPr>
          <w:rFonts w:ascii="Traditional Arabic" w:hAnsi="Traditional Arabic" w:cs="Traditional Arabic" w:hint="cs"/>
          <w:sz w:val="28"/>
          <w:szCs w:val="28"/>
          <w:rtl/>
          <w:lang w:bidi="ar-DZ"/>
        </w:rPr>
        <w:t>أسفر</w:t>
      </w:r>
      <w:r>
        <w:rPr>
          <w:rFonts w:ascii="Traditional Arabic" w:hAnsi="Traditional Arabic" w:cs="Traditional Arabic" w:hint="cs"/>
          <w:sz w:val="28"/>
          <w:szCs w:val="28"/>
          <w:rtl/>
          <w:lang w:bidi="ar-DZ"/>
        </w:rPr>
        <w:t xml:space="preserve"> ذلك على القضاء عليها نهائيا سنة 2013 وبالتالي ارتفاع نسبة السيولة لدى بنك دبي الإسلامي، ما جعل متوسط السيولة خلال هذه الفترة 2009-2013 يقدر بنسبة 35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260DF6" w:rsidRDefault="00260DF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وبملاحظة النسب السابقة نجد أنها مقبولة وتمثل مؤشرا جيدا للبنك أي انه له مقدرة مقبولة للوفاء بالتزاماته الجارية (قصيرة الأجل). إلا أنها تعتبر مظلة وهذا لاحتوائها على القيم الشاذة، وبتجنب هذه القيم واستبعادها يصبح مستوى النسب 29,28</w:t>
      </w:r>
      <w:r>
        <w:rPr>
          <w:rFonts w:ascii="Traditional Arabic" w:hAnsi="Traditional Arabic" w:cs="Traditional Arabic"/>
          <w:sz w:val="28"/>
          <w:szCs w:val="28"/>
          <w:rtl/>
          <w:lang w:bidi="ar-DZ"/>
        </w:rPr>
        <w:t>%</w:t>
      </w:r>
      <w:r w:rsidR="00E2059A">
        <w:rPr>
          <w:rFonts w:ascii="Traditional Arabic" w:hAnsi="Traditional Arabic" w:cs="Traditional Arabic" w:hint="cs"/>
          <w:sz w:val="28"/>
          <w:szCs w:val="28"/>
          <w:rtl/>
          <w:lang w:bidi="ar-DZ"/>
        </w:rPr>
        <w:t>، وبالتالي فان المستوى المقبول للسيولة النقدية للبنك يكون محصورا بين 29,28</w:t>
      </w:r>
      <w:r w:rsidR="00E2059A">
        <w:rPr>
          <w:rFonts w:ascii="Traditional Arabic" w:hAnsi="Traditional Arabic" w:cs="Traditional Arabic"/>
          <w:sz w:val="28"/>
          <w:szCs w:val="28"/>
          <w:rtl/>
          <w:lang w:bidi="ar-DZ"/>
        </w:rPr>
        <w:t>%</w:t>
      </w:r>
      <w:r w:rsidR="00E2059A">
        <w:rPr>
          <w:rFonts w:ascii="Traditional Arabic" w:hAnsi="Traditional Arabic" w:cs="Traditional Arabic" w:hint="cs"/>
          <w:sz w:val="28"/>
          <w:szCs w:val="28"/>
          <w:rtl/>
          <w:lang w:bidi="ar-DZ"/>
        </w:rPr>
        <w:t xml:space="preserve"> و 35</w:t>
      </w:r>
      <w:r w:rsidR="00E2059A">
        <w:rPr>
          <w:rFonts w:ascii="Traditional Arabic" w:hAnsi="Traditional Arabic" w:cs="Traditional Arabic"/>
          <w:sz w:val="28"/>
          <w:szCs w:val="28"/>
          <w:rtl/>
          <w:lang w:bidi="ar-DZ"/>
        </w:rPr>
        <w:t>%</w:t>
      </w:r>
      <w:r w:rsidR="00E2059A">
        <w:rPr>
          <w:rFonts w:ascii="Traditional Arabic" w:hAnsi="Traditional Arabic" w:cs="Traditional Arabic" w:hint="cs"/>
          <w:sz w:val="28"/>
          <w:szCs w:val="28"/>
          <w:rtl/>
          <w:lang w:bidi="ar-DZ"/>
        </w:rPr>
        <w:t>.</w:t>
      </w:r>
    </w:p>
    <w:p w:rsidR="00E2059A" w:rsidRDefault="00E2059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   ويمكن لهذا البنك زيادة هذه النسبة دون اللجوء إلى تجميد جزء من أمواله على شكل نقدية في صندوقه، عن طريق استثماره لجزء من أمواله في الأسواق المالية المحلية أو الدولية، باستخدامه الأدوات المالية الإسلامية السهل تسييلها، كالصكوك والأوراق القابلة للتداول.</w:t>
      </w:r>
    </w:p>
    <w:p w:rsidR="00697B0F" w:rsidRDefault="00E2059A" w:rsidP="00B72D23">
      <w:pPr>
        <w:bidi/>
        <w:spacing w:line="240" w:lineRule="auto"/>
        <w:rPr>
          <w:rFonts w:ascii="Traditional Arabic" w:hAnsi="Traditional Arabic" w:cs="Traditional Arabic"/>
          <w:sz w:val="28"/>
          <w:szCs w:val="28"/>
          <w:rtl/>
          <w:lang w:bidi="ar-DZ"/>
        </w:rPr>
      </w:pPr>
      <w:r w:rsidRPr="00E2059A">
        <w:rPr>
          <w:rFonts w:ascii="Traditional Arabic" w:hAnsi="Traditional Arabic" w:cs="Traditional Arabic" w:hint="cs"/>
          <w:b/>
          <w:bCs/>
          <w:sz w:val="28"/>
          <w:szCs w:val="28"/>
          <w:rtl/>
          <w:lang w:bidi="ar-DZ"/>
        </w:rPr>
        <w:t>2- نسبة التداول ونسبة النقدية إلى إجمالي الودائع</w:t>
      </w:r>
      <w:r>
        <w:rPr>
          <w:rFonts w:ascii="Traditional Arabic" w:hAnsi="Traditional Arabic" w:cs="Traditional Arabic" w:hint="cs"/>
          <w:sz w:val="28"/>
          <w:szCs w:val="28"/>
          <w:rtl/>
          <w:lang w:bidi="ar-DZ"/>
        </w:rPr>
        <w:t xml:space="preserve">: </w:t>
      </w:r>
    </w:p>
    <w:p w:rsidR="008E1A3E" w:rsidRDefault="00E2059A" w:rsidP="00766938">
      <w:pPr>
        <w:bidi/>
        <w:spacing w:line="240" w:lineRule="auto"/>
        <w:rPr>
          <w:rFonts w:ascii="Traditional Arabic" w:hAnsi="Traditional Arabic" w:cs="Traditional Arabic"/>
          <w:sz w:val="28"/>
          <w:szCs w:val="28"/>
          <w:rtl/>
          <w:lang w:bidi="ar-DZ"/>
        </w:rPr>
      </w:pPr>
      <w:r w:rsidRPr="00E2059A">
        <w:rPr>
          <w:rFonts w:ascii="Traditional Arabic" w:hAnsi="Traditional Arabic" w:cs="Traditional Arabic" w:hint="cs"/>
          <w:b/>
          <w:bCs/>
          <w:sz w:val="28"/>
          <w:szCs w:val="28"/>
          <w:rtl/>
          <w:lang w:bidi="ar-DZ"/>
        </w:rPr>
        <w:t>أ- نسبة التداول في بنك دبي الإسلامي</w:t>
      </w:r>
      <w:r>
        <w:rPr>
          <w:rFonts w:ascii="Traditional Arabic" w:hAnsi="Traditional Arabic" w:cs="Traditional Arabic" w:hint="cs"/>
          <w:sz w:val="28"/>
          <w:szCs w:val="28"/>
          <w:rtl/>
          <w:lang w:bidi="ar-DZ"/>
        </w:rPr>
        <w:t>: تعبر هذه النسبة على مدى قدرة البنك على الوفاء بالتزاماته الجارية (قصيرة الأجل) بالاعتماد على أصوله المتداولة.</w:t>
      </w:r>
    </w:p>
    <w:p w:rsidR="00E2059A" w:rsidRPr="00092710" w:rsidRDefault="00E2059A" w:rsidP="00B72D23">
      <w:pPr>
        <w:bidi/>
        <w:spacing w:line="240" w:lineRule="auto"/>
        <w:rPr>
          <w:rFonts w:ascii="Traditional Arabic" w:hAnsi="Traditional Arabic" w:cs="Traditional Arabic"/>
          <w:sz w:val="28"/>
          <w:szCs w:val="28"/>
          <w:rtl/>
          <w:lang w:bidi="ar-DZ"/>
        </w:rPr>
      </w:pPr>
      <w:r w:rsidRPr="00092710">
        <w:rPr>
          <w:rFonts w:ascii="Traditional Arabic" w:hAnsi="Traditional Arabic" w:cs="Traditional Arabic" w:hint="cs"/>
          <w:sz w:val="28"/>
          <w:szCs w:val="28"/>
          <w:rtl/>
          <w:lang w:bidi="ar-DZ"/>
        </w:rPr>
        <w:t>وتحسب هذه النسبة كما يلي:</w:t>
      </w:r>
    </w:p>
    <w:p w:rsidR="00697B0F" w:rsidRPr="00E2059A" w:rsidRDefault="00E2059A"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E2059A">
        <w:rPr>
          <w:rFonts w:ascii="Traditional Arabic" w:hAnsi="Traditional Arabic" w:cs="Traditional Arabic" w:hint="cs"/>
          <w:b/>
          <w:bCs/>
          <w:sz w:val="28"/>
          <w:szCs w:val="28"/>
          <w:rtl/>
          <w:lang w:bidi="ar-DZ"/>
        </w:rPr>
        <w:t>نسبة التداول= الأصول المتداولة/الخصوم المتداولة</w:t>
      </w:r>
    </w:p>
    <w:p w:rsidR="00E2059A" w:rsidRDefault="00E2059A" w:rsidP="008E1A3E">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فترة الدراسة:</w:t>
      </w:r>
    </w:p>
    <w:p w:rsidR="00E2059A" w:rsidRPr="00E2059A" w:rsidRDefault="00E2059A" w:rsidP="00B72D23">
      <w:pPr>
        <w:bidi/>
        <w:spacing w:line="240" w:lineRule="auto"/>
        <w:jc w:val="center"/>
        <w:rPr>
          <w:rFonts w:ascii="Traditional Arabic" w:hAnsi="Traditional Arabic" w:cs="Traditional Arabic"/>
          <w:b/>
          <w:bCs/>
          <w:sz w:val="28"/>
          <w:szCs w:val="28"/>
          <w:rtl/>
          <w:lang w:bidi="ar-DZ"/>
        </w:rPr>
      </w:pPr>
      <w:r w:rsidRPr="00E2059A">
        <w:rPr>
          <w:rFonts w:ascii="Traditional Arabic" w:hAnsi="Traditional Arabic" w:cs="Traditional Arabic" w:hint="cs"/>
          <w:b/>
          <w:bCs/>
          <w:sz w:val="28"/>
          <w:szCs w:val="28"/>
          <w:rtl/>
          <w:lang w:bidi="ar-DZ"/>
        </w:rPr>
        <w:t>الجدول رقم (03): تطور نسبة التداول خلال الفترة 2009-2013</w:t>
      </w:r>
    </w:p>
    <w:p w:rsidR="00697B0F" w:rsidRDefault="00E2059A" w:rsidP="00B72D23">
      <w:pPr>
        <w:bidi/>
        <w:spacing w:line="240" w:lineRule="auto"/>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الوحدة: الف درهم اماراتي</w:t>
      </w:r>
    </w:p>
    <w:tbl>
      <w:tblPr>
        <w:tblStyle w:val="Grilleclaire-Accent11"/>
        <w:bidiVisual/>
        <w:tblW w:w="0" w:type="auto"/>
        <w:tblLook w:val="04A0"/>
      </w:tblPr>
      <w:tblGrid>
        <w:gridCol w:w="1592"/>
        <w:gridCol w:w="3044"/>
        <w:gridCol w:w="2339"/>
        <w:gridCol w:w="2311"/>
      </w:tblGrid>
      <w:tr w:rsidR="00EC3188" w:rsidTr="00092710">
        <w:trPr>
          <w:cnfStyle w:val="100000000000"/>
        </w:trPr>
        <w:tc>
          <w:tcPr>
            <w:cnfStyle w:val="001000000000"/>
            <w:tcW w:w="1666" w:type="dxa"/>
          </w:tcPr>
          <w:p w:rsidR="00EC3188" w:rsidRDefault="00EC3188"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السنوات</w:t>
            </w:r>
          </w:p>
        </w:tc>
        <w:tc>
          <w:tcPr>
            <w:tcW w:w="3222" w:type="dxa"/>
          </w:tcPr>
          <w:p w:rsidR="00EC3188" w:rsidRDefault="00EC3188"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الأصول المتداولة</w:t>
            </w:r>
          </w:p>
        </w:tc>
        <w:tc>
          <w:tcPr>
            <w:tcW w:w="2445" w:type="dxa"/>
          </w:tcPr>
          <w:p w:rsidR="00EC3188" w:rsidRDefault="00EC3188"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الخصوم المتداولة</w:t>
            </w:r>
          </w:p>
        </w:tc>
        <w:tc>
          <w:tcPr>
            <w:tcW w:w="2445" w:type="dxa"/>
          </w:tcPr>
          <w:p w:rsidR="00EC3188" w:rsidRDefault="00EC3188"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نسبة التداول</w:t>
            </w:r>
            <w:r>
              <w:rPr>
                <w:rFonts w:ascii="Traditional Arabic" w:hAnsi="Traditional Arabic" w:cs="Traditional Arabic"/>
                <w:sz w:val="28"/>
                <w:szCs w:val="28"/>
                <w:rtl/>
                <w:lang w:bidi="ar-DZ"/>
              </w:rPr>
              <w:t>%</w:t>
            </w:r>
          </w:p>
        </w:tc>
      </w:tr>
      <w:tr w:rsidR="00EC3188" w:rsidTr="00092710">
        <w:trPr>
          <w:cnfStyle w:val="000000100000"/>
        </w:trPr>
        <w:tc>
          <w:tcPr>
            <w:cnfStyle w:val="001000000000"/>
            <w:tcW w:w="1666" w:type="dxa"/>
          </w:tcPr>
          <w:p w:rsidR="00EC3188" w:rsidRPr="00EC3188" w:rsidRDefault="00EC3188" w:rsidP="00B72D23">
            <w:pPr>
              <w:bidi/>
              <w:rPr>
                <w:rFonts w:ascii="Traditional Arabic" w:hAnsi="Traditional Arabic" w:cs="Traditional Arabic"/>
                <w:sz w:val="28"/>
                <w:szCs w:val="28"/>
                <w:lang w:val="en-ZA" w:bidi="ar-DZ"/>
              </w:rPr>
            </w:pPr>
            <w:r>
              <w:rPr>
                <w:rFonts w:ascii="Traditional Arabic" w:hAnsi="Traditional Arabic" w:cs="Traditional Arabic"/>
                <w:sz w:val="28"/>
                <w:szCs w:val="28"/>
                <w:lang w:val="en-ZA" w:bidi="ar-DZ"/>
              </w:rPr>
              <w:t>2009</w:t>
            </w:r>
          </w:p>
        </w:tc>
        <w:tc>
          <w:tcPr>
            <w:tcW w:w="3222"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31806133</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49823303</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63,83</w:t>
            </w:r>
          </w:p>
        </w:tc>
      </w:tr>
      <w:tr w:rsidR="00EC3188" w:rsidTr="00092710">
        <w:trPr>
          <w:cnfStyle w:val="000000010000"/>
        </w:trPr>
        <w:tc>
          <w:tcPr>
            <w:cnfStyle w:val="001000000000"/>
            <w:tcW w:w="1666" w:type="dxa"/>
          </w:tcPr>
          <w:p w:rsidR="00EC3188" w:rsidRDefault="00EC3188"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2010</w:t>
            </w:r>
          </w:p>
        </w:tc>
        <w:tc>
          <w:tcPr>
            <w:tcW w:w="3222"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31670553</w:t>
            </w:r>
          </w:p>
        </w:tc>
        <w:tc>
          <w:tcPr>
            <w:tcW w:w="2445"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48905243</w:t>
            </w:r>
          </w:p>
        </w:tc>
        <w:tc>
          <w:tcPr>
            <w:tcW w:w="2445"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64,76</w:t>
            </w:r>
          </w:p>
        </w:tc>
      </w:tr>
      <w:tr w:rsidR="00EC3188" w:rsidTr="00092710">
        <w:trPr>
          <w:cnfStyle w:val="000000100000"/>
        </w:trPr>
        <w:tc>
          <w:tcPr>
            <w:cnfStyle w:val="001000000000"/>
            <w:tcW w:w="1666" w:type="dxa"/>
          </w:tcPr>
          <w:p w:rsidR="00EC3188" w:rsidRDefault="00EC3188"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2011</w:t>
            </w:r>
          </w:p>
        </w:tc>
        <w:tc>
          <w:tcPr>
            <w:tcW w:w="3222"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36041279</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50606075</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71,22</w:t>
            </w:r>
          </w:p>
        </w:tc>
      </w:tr>
      <w:tr w:rsidR="00EC3188" w:rsidTr="00092710">
        <w:trPr>
          <w:cnfStyle w:val="000000010000"/>
        </w:trPr>
        <w:tc>
          <w:tcPr>
            <w:cnfStyle w:val="001000000000"/>
            <w:tcW w:w="1666" w:type="dxa"/>
          </w:tcPr>
          <w:p w:rsidR="00EC3188" w:rsidRDefault="00EC3188"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2012</w:t>
            </w:r>
          </w:p>
        </w:tc>
        <w:tc>
          <w:tcPr>
            <w:tcW w:w="3222"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40355507</w:t>
            </w:r>
          </w:p>
        </w:tc>
        <w:tc>
          <w:tcPr>
            <w:tcW w:w="2445"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43630237</w:t>
            </w:r>
          </w:p>
        </w:tc>
        <w:tc>
          <w:tcPr>
            <w:tcW w:w="2445"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92,49</w:t>
            </w:r>
          </w:p>
        </w:tc>
      </w:tr>
      <w:tr w:rsidR="00EC3188" w:rsidTr="00092710">
        <w:trPr>
          <w:cnfStyle w:val="000000100000"/>
        </w:trPr>
        <w:tc>
          <w:tcPr>
            <w:cnfStyle w:val="001000000000"/>
            <w:tcW w:w="1666" w:type="dxa"/>
          </w:tcPr>
          <w:p w:rsidR="00EC3188" w:rsidRDefault="00EC3188"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2013</w:t>
            </w:r>
          </w:p>
        </w:tc>
        <w:tc>
          <w:tcPr>
            <w:tcW w:w="3222"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57289998</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72743681</w:t>
            </w:r>
          </w:p>
        </w:tc>
        <w:tc>
          <w:tcPr>
            <w:tcW w:w="2445" w:type="dxa"/>
          </w:tcPr>
          <w:p w:rsidR="00EC3188" w:rsidRDefault="00054273"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78,76</w:t>
            </w:r>
          </w:p>
        </w:tc>
      </w:tr>
      <w:tr w:rsidR="00EC3188" w:rsidTr="00092710">
        <w:trPr>
          <w:cnfStyle w:val="000000010000"/>
        </w:trPr>
        <w:tc>
          <w:tcPr>
            <w:cnfStyle w:val="001000000000"/>
            <w:tcW w:w="1666" w:type="dxa"/>
          </w:tcPr>
          <w:p w:rsidR="00EC3188" w:rsidRDefault="00054273"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المتوسط</w:t>
            </w:r>
          </w:p>
        </w:tc>
        <w:tc>
          <w:tcPr>
            <w:tcW w:w="3222" w:type="dxa"/>
          </w:tcPr>
          <w:p w:rsidR="00EC3188" w:rsidRDefault="00EC3188" w:rsidP="00B72D23">
            <w:pPr>
              <w:bidi/>
              <w:cnfStyle w:val="000000010000"/>
              <w:rPr>
                <w:rFonts w:ascii="Traditional Arabic" w:hAnsi="Traditional Arabic" w:cs="Traditional Arabic"/>
                <w:sz w:val="28"/>
                <w:szCs w:val="28"/>
                <w:rtl/>
                <w:lang w:bidi="ar-DZ"/>
              </w:rPr>
            </w:pPr>
          </w:p>
        </w:tc>
        <w:tc>
          <w:tcPr>
            <w:tcW w:w="2445" w:type="dxa"/>
          </w:tcPr>
          <w:p w:rsidR="00EC3188" w:rsidRDefault="00EC3188" w:rsidP="00B72D23">
            <w:pPr>
              <w:bidi/>
              <w:cnfStyle w:val="000000010000"/>
              <w:rPr>
                <w:rFonts w:ascii="Traditional Arabic" w:hAnsi="Traditional Arabic" w:cs="Traditional Arabic"/>
                <w:sz w:val="28"/>
                <w:szCs w:val="28"/>
                <w:rtl/>
                <w:lang w:bidi="ar-DZ"/>
              </w:rPr>
            </w:pPr>
          </w:p>
        </w:tc>
        <w:tc>
          <w:tcPr>
            <w:tcW w:w="2445" w:type="dxa"/>
          </w:tcPr>
          <w:p w:rsidR="00EC3188" w:rsidRDefault="00054273"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74,21</w:t>
            </w:r>
          </w:p>
        </w:tc>
      </w:tr>
    </w:tbl>
    <w:p w:rsidR="00697B0F" w:rsidRPr="001D33C2" w:rsidRDefault="00054273"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من اعدا</w:t>
      </w:r>
      <w:r w:rsidR="001D33C2" w:rsidRPr="001D33C2">
        <w:rPr>
          <w:rFonts w:ascii="Traditional Arabic" w:hAnsi="Traditional Arabic" w:cs="Traditional Arabic" w:hint="cs"/>
          <w:sz w:val="24"/>
          <w:szCs w:val="24"/>
          <w:rtl/>
          <w:lang w:bidi="ar-DZ"/>
        </w:rPr>
        <w:t>د</w:t>
      </w:r>
      <w:r w:rsidRPr="001D33C2">
        <w:rPr>
          <w:rFonts w:ascii="Traditional Arabic" w:hAnsi="Traditional Arabic" w:cs="Traditional Arabic" w:hint="cs"/>
          <w:sz w:val="24"/>
          <w:szCs w:val="24"/>
          <w:rtl/>
          <w:lang w:bidi="ar-DZ"/>
        </w:rPr>
        <w:t xml:space="preserve"> الباحثان اعتمادا على التقارير المالية للبنك خلال الفترة 2009-2013</w:t>
      </w:r>
    </w:p>
    <w:p w:rsidR="00054273" w:rsidRDefault="009D30C0"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تلخيص الجدول السابق في الشكل التالي:</w:t>
      </w:r>
    </w:p>
    <w:p w:rsidR="00766938" w:rsidRDefault="00766938" w:rsidP="00B72D23">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766938" w:rsidRDefault="00766938" w:rsidP="00766938">
      <w:pPr>
        <w:bidi/>
        <w:spacing w:line="240" w:lineRule="auto"/>
        <w:jc w:val="center"/>
        <w:rPr>
          <w:rFonts w:ascii="Traditional Arabic" w:hAnsi="Traditional Arabic" w:cs="Traditional Arabic"/>
          <w:b/>
          <w:bCs/>
          <w:sz w:val="28"/>
          <w:szCs w:val="28"/>
          <w:rtl/>
          <w:lang w:bidi="ar-DZ"/>
        </w:rPr>
      </w:pPr>
    </w:p>
    <w:p w:rsidR="009D30C0" w:rsidRPr="009D30C0" w:rsidRDefault="009D30C0" w:rsidP="00766938">
      <w:pPr>
        <w:bidi/>
        <w:spacing w:line="240" w:lineRule="auto"/>
        <w:jc w:val="center"/>
        <w:rPr>
          <w:rFonts w:ascii="Traditional Arabic" w:hAnsi="Traditional Arabic" w:cs="Traditional Arabic"/>
          <w:b/>
          <w:bCs/>
          <w:sz w:val="28"/>
          <w:szCs w:val="28"/>
          <w:rtl/>
          <w:lang w:bidi="ar-DZ"/>
        </w:rPr>
      </w:pPr>
      <w:r w:rsidRPr="009D30C0">
        <w:rPr>
          <w:rFonts w:ascii="Traditional Arabic" w:hAnsi="Traditional Arabic" w:cs="Traditional Arabic" w:hint="cs"/>
          <w:b/>
          <w:bCs/>
          <w:sz w:val="28"/>
          <w:szCs w:val="28"/>
          <w:rtl/>
          <w:lang w:bidi="ar-DZ"/>
        </w:rPr>
        <w:lastRenderedPageBreak/>
        <w:t>الشكل رقم (03): تطور نسبة التداول في بنك دبي الإسلامي خلال 2009-2013</w:t>
      </w:r>
    </w:p>
    <w:p w:rsidR="00697B0F" w:rsidRDefault="009D30C0"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val="en-US"/>
        </w:rPr>
        <w:drawing>
          <wp:inline distT="0" distB="0" distL="0" distR="0">
            <wp:extent cx="4657544" cy="2695698"/>
            <wp:effectExtent l="19050" t="0" r="9706" b="9402"/>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B0F" w:rsidRPr="001D33C2" w:rsidRDefault="009D30C0"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المصدر</w:t>
      </w:r>
      <w:r w:rsidRPr="001D33C2">
        <w:rPr>
          <w:rFonts w:ascii="Traditional Arabic" w:hAnsi="Traditional Arabic" w:cs="Traditional Arabic" w:hint="cs"/>
          <w:sz w:val="24"/>
          <w:szCs w:val="24"/>
          <w:rtl/>
          <w:lang w:bidi="ar-DZ"/>
        </w:rPr>
        <w:t>: من إعداد الباحثان اعتمادا على التقارير المالية للبنك خلال 2009-2013</w:t>
      </w:r>
    </w:p>
    <w:p w:rsidR="003B0EAA" w:rsidRDefault="003B0EA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يلاحظ من النتائج المتوصل إليها في الجدول أعلاه الخاص بنسب التداول لبنك دبي الإسلامي ما يلي:</w:t>
      </w:r>
    </w:p>
    <w:p w:rsidR="003B0EAA" w:rsidRDefault="003B0EA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442A8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نسب التداول في البنك متغيرة من سنة إلى أخرى، حيث أنها جد مرتفعة سنة 2012 بنسبة 92,42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وكانت متفاوتة بعض الشئ في باقي السنوات، إذ كانت منخفضة في سنتي 2009، 2010 فقد قدرت في سنة الأساس ب: 63,83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وفي السنة الموالية 64,76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ثم ارتفعت إلى 71,22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سنة 2011، بعدها الوصول إلى الحد الاقصى عام 2012، ومن ثم الانخفاض إلى نسبة 78,76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سنة 2013.</w:t>
      </w:r>
    </w:p>
    <w:p w:rsidR="003B0EAA" w:rsidRDefault="003B0EA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442A8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متوسط نسبة التداول في بنك دبي الإسلامي هي: 74,21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إلا انه توجد بعض القيم الشاذة وتتمثل في سنة 2012 ويرجع سبب ارتفاع نسبة التداول إلى الانتعاش الاقتصادي التي عاشته امارة دبي إذ انه بعد بداية زوال الازمة وسيادة الاريحية المالية داخل الدولة أدى إلى زيادة وارتفاع الودائع الجارية وبالتالي زيادة الخصوم المتداولة.</w:t>
      </w:r>
    </w:p>
    <w:p w:rsidR="003B0EAA" w:rsidRDefault="003B0EA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442A8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وعند استبعاد القيم الشاذة يصبح المتوسط 69,64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وبالتالي فان مدى نسبة التداول المقبولة لبنك دبي الإسلامي تتراوح ما بين 69,64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w:t>
      </w:r>
      <w:r w:rsidR="00442A88">
        <w:rPr>
          <w:rFonts w:ascii="Traditional Arabic" w:hAnsi="Traditional Arabic" w:cs="Traditional Arabic" w:hint="cs"/>
          <w:sz w:val="28"/>
          <w:szCs w:val="28"/>
          <w:rtl/>
          <w:lang w:bidi="ar-DZ"/>
        </w:rPr>
        <w:t>74,21</w:t>
      </w:r>
      <w:r w:rsidR="00442A88">
        <w:rPr>
          <w:rFonts w:ascii="Traditional Arabic" w:hAnsi="Traditional Arabic" w:cs="Traditional Arabic"/>
          <w:sz w:val="28"/>
          <w:szCs w:val="28"/>
          <w:rtl/>
          <w:lang w:bidi="ar-DZ"/>
        </w:rPr>
        <w:t>%</w:t>
      </w:r>
      <w:r w:rsidR="00442A88">
        <w:rPr>
          <w:rFonts w:ascii="Traditional Arabic" w:hAnsi="Traditional Arabic" w:cs="Traditional Arabic" w:hint="cs"/>
          <w:sz w:val="28"/>
          <w:szCs w:val="28"/>
          <w:rtl/>
          <w:lang w:bidi="ar-DZ"/>
        </w:rPr>
        <w:t xml:space="preserve"> وتكون هذه النسبة معيار لقياس نسبة التداول المثالية.</w:t>
      </w:r>
    </w:p>
    <w:p w:rsidR="00BE693C" w:rsidRDefault="00BE693C" w:rsidP="00B72D23">
      <w:pPr>
        <w:bidi/>
        <w:spacing w:line="240" w:lineRule="auto"/>
        <w:rPr>
          <w:rFonts w:ascii="Traditional Arabic" w:hAnsi="Traditional Arabic" w:cs="Traditional Arabic"/>
          <w:sz w:val="28"/>
          <w:szCs w:val="28"/>
          <w:rtl/>
          <w:lang w:bidi="ar-DZ"/>
        </w:rPr>
      </w:pPr>
      <w:r w:rsidRPr="00BE693C">
        <w:rPr>
          <w:rFonts w:ascii="Traditional Arabic" w:hAnsi="Traditional Arabic" w:cs="Traditional Arabic" w:hint="cs"/>
          <w:b/>
          <w:bCs/>
          <w:sz w:val="28"/>
          <w:szCs w:val="28"/>
          <w:rtl/>
          <w:lang w:bidi="ar-DZ"/>
        </w:rPr>
        <w:t>ب- نسبة النقدية إلى إجمالي الودائع</w:t>
      </w:r>
      <w:r>
        <w:rPr>
          <w:rFonts w:ascii="Traditional Arabic" w:hAnsi="Traditional Arabic" w:cs="Traditional Arabic" w:hint="cs"/>
          <w:sz w:val="28"/>
          <w:szCs w:val="28"/>
          <w:rtl/>
          <w:lang w:bidi="ar-DZ"/>
        </w:rPr>
        <w:t>: تقيس هذه النسبة إمكانية البنك الإسلامي في تلبية طلبات الودائع من خلال النقدية المتاحة لديه والتي يمكنه السيطرة عليها بصورة مباشرة.</w:t>
      </w:r>
    </w:p>
    <w:p w:rsidR="00BE693C" w:rsidRDefault="00BE693C"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حساب هذه النسبة كما يلي:</w:t>
      </w:r>
    </w:p>
    <w:p w:rsidR="00BE693C" w:rsidRDefault="00BE693C"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BE693C">
        <w:rPr>
          <w:rFonts w:ascii="Traditional Arabic" w:hAnsi="Traditional Arabic" w:cs="Traditional Arabic" w:hint="cs"/>
          <w:b/>
          <w:bCs/>
          <w:sz w:val="28"/>
          <w:szCs w:val="28"/>
          <w:rtl/>
          <w:lang w:bidi="ar-DZ"/>
        </w:rPr>
        <w:t>نسبة النقدية إلى إجمالي الودائع= إجمالي النقدية/إجمالي الودائع</w:t>
      </w:r>
    </w:p>
    <w:p w:rsidR="00BE693C" w:rsidRDefault="00BE693C"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فترة 2009-2013</w:t>
      </w:r>
    </w:p>
    <w:p w:rsidR="00BE693C" w:rsidRPr="00BE693C" w:rsidRDefault="00BE693C" w:rsidP="00B72D23">
      <w:pPr>
        <w:bidi/>
        <w:spacing w:line="240" w:lineRule="auto"/>
        <w:jc w:val="center"/>
        <w:rPr>
          <w:rFonts w:ascii="Traditional Arabic" w:hAnsi="Traditional Arabic" w:cs="Traditional Arabic"/>
          <w:b/>
          <w:bCs/>
          <w:sz w:val="28"/>
          <w:szCs w:val="28"/>
          <w:rtl/>
          <w:lang w:bidi="ar-DZ"/>
        </w:rPr>
      </w:pPr>
      <w:r w:rsidRPr="00BE693C">
        <w:rPr>
          <w:rFonts w:ascii="Traditional Arabic" w:hAnsi="Traditional Arabic" w:cs="Traditional Arabic" w:hint="cs"/>
          <w:b/>
          <w:bCs/>
          <w:sz w:val="28"/>
          <w:szCs w:val="28"/>
          <w:rtl/>
          <w:lang w:bidi="ar-DZ"/>
        </w:rPr>
        <w:lastRenderedPageBreak/>
        <w:t>الجدول رقم (04): تطور نسبة النقدية إلى إجمالي الودائع خلال 2009-2013</w:t>
      </w:r>
    </w:p>
    <w:p w:rsidR="00BE693C" w:rsidRDefault="00BE693C" w:rsidP="00B72D23">
      <w:pPr>
        <w:bidi/>
        <w:spacing w:line="240" w:lineRule="auto"/>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الوحدة: الف درهم اماراتي</w:t>
      </w:r>
    </w:p>
    <w:tbl>
      <w:tblPr>
        <w:tblStyle w:val="Grilleclaire-Accent11"/>
        <w:bidiVisual/>
        <w:tblW w:w="0" w:type="auto"/>
        <w:tblLook w:val="04A0"/>
      </w:tblPr>
      <w:tblGrid>
        <w:gridCol w:w="1633"/>
        <w:gridCol w:w="3028"/>
        <w:gridCol w:w="2331"/>
        <w:gridCol w:w="2294"/>
      </w:tblGrid>
      <w:tr w:rsidR="00BE693C" w:rsidRPr="00D00D54" w:rsidTr="00092710">
        <w:trPr>
          <w:cnfStyle w:val="100000000000"/>
        </w:trPr>
        <w:tc>
          <w:tcPr>
            <w:cnfStyle w:val="001000000000"/>
            <w:tcW w:w="1666" w:type="dxa"/>
          </w:tcPr>
          <w:p w:rsidR="00BE693C" w:rsidRPr="00D00D54" w:rsidRDefault="00BE693C" w:rsidP="00B72D23">
            <w:pPr>
              <w:bidi/>
              <w:jc w:val="center"/>
              <w:rPr>
                <w:rFonts w:ascii="Traditional Arabic" w:hAnsi="Traditional Arabic" w:cs="Traditional Arabic"/>
                <w:sz w:val="28"/>
                <w:szCs w:val="28"/>
                <w:rtl/>
                <w:lang w:bidi="ar-DZ"/>
              </w:rPr>
            </w:pPr>
            <w:r w:rsidRPr="00D00D54">
              <w:rPr>
                <w:rFonts w:ascii="Traditional Arabic" w:hAnsi="Traditional Arabic" w:cs="Traditional Arabic" w:hint="cs"/>
                <w:sz w:val="28"/>
                <w:szCs w:val="28"/>
                <w:rtl/>
                <w:lang w:bidi="ar-DZ"/>
              </w:rPr>
              <w:t>السنوات/البيان</w:t>
            </w:r>
          </w:p>
        </w:tc>
        <w:tc>
          <w:tcPr>
            <w:tcW w:w="3222" w:type="dxa"/>
          </w:tcPr>
          <w:p w:rsidR="00BE693C" w:rsidRPr="00D00D54" w:rsidRDefault="00BE693C" w:rsidP="00B72D23">
            <w:pPr>
              <w:bidi/>
              <w:jc w:val="center"/>
              <w:cnfStyle w:val="100000000000"/>
              <w:rPr>
                <w:rFonts w:ascii="Traditional Arabic" w:hAnsi="Traditional Arabic" w:cs="Traditional Arabic"/>
                <w:sz w:val="28"/>
                <w:szCs w:val="28"/>
                <w:rtl/>
                <w:lang w:bidi="ar-DZ"/>
              </w:rPr>
            </w:pPr>
            <w:r w:rsidRPr="00D00D54">
              <w:rPr>
                <w:rFonts w:ascii="Traditional Arabic" w:hAnsi="Traditional Arabic" w:cs="Traditional Arabic" w:hint="cs"/>
                <w:sz w:val="28"/>
                <w:szCs w:val="28"/>
                <w:rtl/>
                <w:lang w:bidi="ar-DZ"/>
              </w:rPr>
              <w:t>إجمالي النقدية</w:t>
            </w:r>
          </w:p>
        </w:tc>
        <w:tc>
          <w:tcPr>
            <w:tcW w:w="2445" w:type="dxa"/>
          </w:tcPr>
          <w:p w:rsidR="00BE693C" w:rsidRPr="00D00D54" w:rsidRDefault="00BE693C" w:rsidP="00B72D23">
            <w:pPr>
              <w:bidi/>
              <w:jc w:val="center"/>
              <w:cnfStyle w:val="100000000000"/>
              <w:rPr>
                <w:rFonts w:ascii="Traditional Arabic" w:hAnsi="Traditional Arabic" w:cs="Traditional Arabic"/>
                <w:sz w:val="28"/>
                <w:szCs w:val="28"/>
                <w:rtl/>
                <w:lang w:bidi="ar-DZ"/>
              </w:rPr>
            </w:pPr>
            <w:r w:rsidRPr="00D00D54">
              <w:rPr>
                <w:rFonts w:ascii="Traditional Arabic" w:hAnsi="Traditional Arabic" w:cs="Traditional Arabic" w:hint="cs"/>
                <w:sz w:val="28"/>
                <w:szCs w:val="28"/>
                <w:rtl/>
                <w:lang w:bidi="ar-DZ"/>
              </w:rPr>
              <w:t>إجمالي الودائع</w:t>
            </w:r>
          </w:p>
        </w:tc>
        <w:tc>
          <w:tcPr>
            <w:tcW w:w="2445" w:type="dxa"/>
          </w:tcPr>
          <w:p w:rsidR="00BE693C" w:rsidRPr="00D00D54" w:rsidRDefault="00BE693C" w:rsidP="00B72D23">
            <w:pPr>
              <w:bidi/>
              <w:jc w:val="center"/>
              <w:cnfStyle w:val="100000000000"/>
              <w:rPr>
                <w:rFonts w:ascii="Traditional Arabic" w:hAnsi="Traditional Arabic" w:cs="Traditional Arabic"/>
                <w:sz w:val="28"/>
                <w:szCs w:val="28"/>
                <w:rtl/>
                <w:lang w:bidi="ar-DZ"/>
              </w:rPr>
            </w:pPr>
            <w:r w:rsidRPr="00D00D54">
              <w:rPr>
                <w:rFonts w:ascii="Traditional Arabic" w:hAnsi="Traditional Arabic" w:cs="Traditional Arabic" w:hint="cs"/>
                <w:sz w:val="28"/>
                <w:szCs w:val="28"/>
                <w:rtl/>
                <w:lang w:bidi="ar-DZ"/>
              </w:rPr>
              <w:t>نسبة النقدية إلى إجمالي الودائع</w:t>
            </w:r>
            <w:r w:rsidRPr="00D00D54">
              <w:rPr>
                <w:rFonts w:ascii="Traditional Arabic" w:hAnsi="Traditional Arabic" w:cs="Traditional Arabic"/>
                <w:sz w:val="28"/>
                <w:szCs w:val="28"/>
                <w:rtl/>
                <w:lang w:bidi="ar-DZ"/>
              </w:rPr>
              <w:t>%</w:t>
            </w:r>
          </w:p>
        </w:tc>
      </w:tr>
      <w:tr w:rsidR="00BE693C" w:rsidRPr="00D00D54" w:rsidTr="00092710">
        <w:trPr>
          <w:cnfStyle w:val="000000100000"/>
        </w:trPr>
        <w:tc>
          <w:tcPr>
            <w:cnfStyle w:val="001000000000"/>
            <w:tcW w:w="1666" w:type="dxa"/>
          </w:tcPr>
          <w:p w:rsidR="00BE693C" w:rsidRPr="00D00D54" w:rsidRDefault="00BE693C" w:rsidP="00B72D23">
            <w:pPr>
              <w:bidi/>
              <w:rPr>
                <w:rFonts w:ascii="Traditional Arabic" w:hAnsi="Traditional Arabic" w:cs="Traditional Arabic"/>
                <w:sz w:val="28"/>
                <w:szCs w:val="28"/>
                <w:lang w:val="en-ZA" w:bidi="ar-DZ"/>
              </w:rPr>
            </w:pPr>
            <w:r w:rsidRPr="00D00D54">
              <w:rPr>
                <w:rFonts w:ascii="Traditional Arabic" w:hAnsi="Traditional Arabic" w:cs="Traditional Arabic"/>
                <w:sz w:val="28"/>
                <w:szCs w:val="28"/>
                <w:lang w:val="en-ZA" w:bidi="ar-DZ"/>
              </w:rPr>
              <w:t>2009</w:t>
            </w:r>
          </w:p>
        </w:tc>
        <w:tc>
          <w:tcPr>
            <w:tcW w:w="3222"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12963869</w:t>
            </w:r>
          </w:p>
        </w:tc>
        <w:tc>
          <w:tcPr>
            <w:tcW w:w="2445"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65644554</w:t>
            </w:r>
          </w:p>
        </w:tc>
        <w:tc>
          <w:tcPr>
            <w:tcW w:w="2445"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19.7</w:t>
            </w:r>
          </w:p>
        </w:tc>
      </w:tr>
      <w:tr w:rsidR="00BE693C" w:rsidRPr="00D00D54" w:rsidTr="00092710">
        <w:trPr>
          <w:cnfStyle w:val="000000010000"/>
        </w:trPr>
        <w:tc>
          <w:tcPr>
            <w:cnfStyle w:val="001000000000"/>
            <w:tcW w:w="1666" w:type="dxa"/>
          </w:tcPr>
          <w:p w:rsidR="00BE693C" w:rsidRPr="00D00D54" w:rsidRDefault="00BE693C" w:rsidP="00B72D23">
            <w:pPr>
              <w:bidi/>
              <w:rPr>
                <w:rFonts w:ascii="Traditional Arabic" w:hAnsi="Traditional Arabic" w:cs="Traditional Arabic"/>
                <w:sz w:val="28"/>
                <w:szCs w:val="28"/>
                <w:rtl/>
                <w:lang w:bidi="ar-DZ"/>
              </w:rPr>
            </w:pPr>
            <w:r w:rsidRPr="00D00D54">
              <w:rPr>
                <w:rFonts w:ascii="Traditional Arabic" w:hAnsi="Traditional Arabic" w:cs="Traditional Arabic"/>
                <w:sz w:val="28"/>
                <w:szCs w:val="28"/>
                <w:lang w:bidi="ar-DZ"/>
              </w:rPr>
              <w:t>2010</w:t>
            </w:r>
          </w:p>
        </w:tc>
        <w:tc>
          <w:tcPr>
            <w:tcW w:w="3222" w:type="dxa"/>
          </w:tcPr>
          <w:p w:rsidR="00BE693C" w:rsidRPr="00D00D54" w:rsidRDefault="00BE693C"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13603756</w:t>
            </w:r>
          </w:p>
        </w:tc>
        <w:tc>
          <w:tcPr>
            <w:tcW w:w="2445" w:type="dxa"/>
          </w:tcPr>
          <w:p w:rsidR="00BE693C" w:rsidRPr="00D00D54" w:rsidRDefault="00BE693C"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67856497</w:t>
            </w:r>
          </w:p>
        </w:tc>
        <w:tc>
          <w:tcPr>
            <w:tcW w:w="2445" w:type="dxa"/>
          </w:tcPr>
          <w:p w:rsidR="00BE693C" w:rsidRPr="00D00D54" w:rsidRDefault="00BE693C"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20,05</w:t>
            </w:r>
          </w:p>
        </w:tc>
      </w:tr>
      <w:tr w:rsidR="00BE693C" w:rsidRPr="00D00D54" w:rsidTr="00092710">
        <w:trPr>
          <w:cnfStyle w:val="000000100000"/>
        </w:trPr>
        <w:tc>
          <w:tcPr>
            <w:cnfStyle w:val="001000000000"/>
            <w:tcW w:w="1666" w:type="dxa"/>
          </w:tcPr>
          <w:p w:rsidR="00BE693C" w:rsidRPr="00D00D54" w:rsidRDefault="00BE693C" w:rsidP="00B72D23">
            <w:pPr>
              <w:bidi/>
              <w:rPr>
                <w:rFonts w:ascii="Traditional Arabic" w:hAnsi="Traditional Arabic" w:cs="Traditional Arabic"/>
                <w:sz w:val="28"/>
                <w:szCs w:val="28"/>
                <w:rtl/>
                <w:lang w:bidi="ar-DZ"/>
              </w:rPr>
            </w:pPr>
            <w:r w:rsidRPr="00D00D54">
              <w:rPr>
                <w:rFonts w:ascii="Traditional Arabic" w:hAnsi="Traditional Arabic" w:cs="Traditional Arabic"/>
                <w:sz w:val="28"/>
                <w:szCs w:val="28"/>
                <w:lang w:bidi="ar-DZ"/>
              </w:rPr>
              <w:t>2011</w:t>
            </w:r>
          </w:p>
        </w:tc>
        <w:tc>
          <w:tcPr>
            <w:tcW w:w="3222"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15995415</w:t>
            </w:r>
          </w:p>
        </w:tc>
        <w:tc>
          <w:tcPr>
            <w:tcW w:w="2445"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68823750</w:t>
            </w:r>
          </w:p>
        </w:tc>
        <w:tc>
          <w:tcPr>
            <w:tcW w:w="2445" w:type="dxa"/>
          </w:tcPr>
          <w:p w:rsidR="00BE693C" w:rsidRPr="00D00D54" w:rsidRDefault="00BE693C"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23,24</w:t>
            </w:r>
          </w:p>
        </w:tc>
      </w:tr>
      <w:tr w:rsidR="00BE693C" w:rsidRPr="00D00D54" w:rsidTr="00092710">
        <w:trPr>
          <w:cnfStyle w:val="000000010000"/>
        </w:trPr>
        <w:tc>
          <w:tcPr>
            <w:cnfStyle w:val="001000000000"/>
            <w:tcW w:w="1666" w:type="dxa"/>
          </w:tcPr>
          <w:p w:rsidR="00BE693C" w:rsidRPr="00D00D54" w:rsidRDefault="00BE693C" w:rsidP="00B72D23">
            <w:pPr>
              <w:bidi/>
              <w:rPr>
                <w:rFonts w:ascii="Traditional Arabic" w:hAnsi="Traditional Arabic" w:cs="Traditional Arabic"/>
                <w:sz w:val="28"/>
                <w:szCs w:val="28"/>
                <w:rtl/>
                <w:lang w:bidi="ar-DZ"/>
              </w:rPr>
            </w:pPr>
            <w:r w:rsidRPr="00D00D54">
              <w:rPr>
                <w:rFonts w:ascii="Traditional Arabic" w:hAnsi="Traditional Arabic" w:cs="Traditional Arabic"/>
                <w:sz w:val="28"/>
                <w:szCs w:val="28"/>
                <w:lang w:bidi="ar-DZ"/>
              </w:rPr>
              <w:t>2012</w:t>
            </w:r>
          </w:p>
        </w:tc>
        <w:tc>
          <w:tcPr>
            <w:tcW w:w="3222" w:type="dxa"/>
          </w:tcPr>
          <w:p w:rsidR="00BE693C" w:rsidRPr="00D00D54" w:rsidRDefault="00BE693C"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18642663</w:t>
            </w:r>
          </w:p>
        </w:tc>
        <w:tc>
          <w:tcPr>
            <w:tcW w:w="2445" w:type="dxa"/>
          </w:tcPr>
          <w:p w:rsidR="00BE693C" w:rsidRPr="00D00D54" w:rsidRDefault="00D00D54"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72959141</w:t>
            </w:r>
          </w:p>
        </w:tc>
        <w:tc>
          <w:tcPr>
            <w:tcW w:w="2445" w:type="dxa"/>
          </w:tcPr>
          <w:p w:rsidR="00BE693C" w:rsidRPr="00D00D54" w:rsidRDefault="00D00D54"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25,55</w:t>
            </w:r>
          </w:p>
        </w:tc>
      </w:tr>
      <w:tr w:rsidR="00BE693C" w:rsidRPr="00D00D54" w:rsidTr="00092710">
        <w:trPr>
          <w:cnfStyle w:val="000000100000"/>
        </w:trPr>
        <w:tc>
          <w:tcPr>
            <w:cnfStyle w:val="001000000000"/>
            <w:tcW w:w="1666" w:type="dxa"/>
          </w:tcPr>
          <w:p w:rsidR="00BE693C" w:rsidRPr="00D00D54" w:rsidRDefault="00BE693C" w:rsidP="00B72D23">
            <w:pPr>
              <w:bidi/>
              <w:rPr>
                <w:rFonts w:ascii="Traditional Arabic" w:hAnsi="Traditional Arabic" w:cs="Traditional Arabic"/>
                <w:sz w:val="28"/>
                <w:szCs w:val="28"/>
                <w:rtl/>
                <w:lang w:bidi="ar-DZ"/>
              </w:rPr>
            </w:pPr>
            <w:r w:rsidRPr="00D00D54">
              <w:rPr>
                <w:rFonts w:ascii="Traditional Arabic" w:hAnsi="Traditional Arabic" w:cs="Traditional Arabic"/>
                <w:sz w:val="28"/>
                <w:szCs w:val="28"/>
                <w:lang w:bidi="ar-DZ"/>
              </w:rPr>
              <w:t>2013</w:t>
            </w:r>
          </w:p>
        </w:tc>
        <w:tc>
          <w:tcPr>
            <w:tcW w:w="3222" w:type="dxa"/>
          </w:tcPr>
          <w:p w:rsidR="00BE693C" w:rsidRPr="00D00D54" w:rsidRDefault="00D00D54"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32318132</w:t>
            </w:r>
          </w:p>
        </w:tc>
        <w:tc>
          <w:tcPr>
            <w:tcW w:w="2445" w:type="dxa"/>
          </w:tcPr>
          <w:p w:rsidR="00BE693C" w:rsidRPr="00D00D54" w:rsidRDefault="00D00D54"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81690547</w:t>
            </w:r>
          </w:p>
        </w:tc>
        <w:tc>
          <w:tcPr>
            <w:tcW w:w="2445" w:type="dxa"/>
          </w:tcPr>
          <w:p w:rsidR="00BE693C" w:rsidRPr="00D00D54" w:rsidRDefault="00D00D54" w:rsidP="00B72D23">
            <w:pPr>
              <w:bidi/>
              <w:cnfStyle w:val="00000010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39,56</w:t>
            </w:r>
          </w:p>
        </w:tc>
      </w:tr>
      <w:tr w:rsidR="00BE693C" w:rsidRPr="00D00D54" w:rsidTr="00092710">
        <w:trPr>
          <w:cnfStyle w:val="000000010000"/>
        </w:trPr>
        <w:tc>
          <w:tcPr>
            <w:cnfStyle w:val="001000000000"/>
            <w:tcW w:w="1666" w:type="dxa"/>
          </w:tcPr>
          <w:p w:rsidR="00BE693C" w:rsidRPr="00D00D54" w:rsidRDefault="00D00D54" w:rsidP="00B72D23">
            <w:pPr>
              <w:bidi/>
              <w:rPr>
                <w:rFonts w:ascii="Traditional Arabic" w:hAnsi="Traditional Arabic" w:cs="Traditional Arabic"/>
                <w:sz w:val="28"/>
                <w:szCs w:val="28"/>
                <w:rtl/>
                <w:lang w:bidi="ar-DZ"/>
              </w:rPr>
            </w:pPr>
            <w:r w:rsidRPr="00D00D54">
              <w:rPr>
                <w:rFonts w:ascii="Traditional Arabic" w:hAnsi="Traditional Arabic" w:cs="Traditional Arabic" w:hint="cs"/>
                <w:sz w:val="28"/>
                <w:szCs w:val="28"/>
                <w:rtl/>
                <w:lang w:bidi="ar-DZ"/>
              </w:rPr>
              <w:t>المتوسط</w:t>
            </w:r>
          </w:p>
        </w:tc>
        <w:tc>
          <w:tcPr>
            <w:tcW w:w="3222" w:type="dxa"/>
          </w:tcPr>
          <w:p w:rsidR="00BE693C" w:rsidRPr="00D00D54" w:rsidRDefault="00BE693C" w:rsidP="00B72D23">
            <w:pPr>
              <w:bidi/>
              <w:cnfStyle w:val="000000010000"/>
              <w:rPr>
                <w:rFonts w:ascii="Traditional Arabic" w:hAnsi="Traditional Arabic" w:cs="Traditional Arabic"/>
                <w:b/>
                <w:bCs/>
                <w:sz w:val="28"/>
                <w:szCs w:val="28"/>
                <w:rtl/>
                <w:lang w:bidi="ar-DZ"/>
              </w:rPr>
            </w:pPr>
          </w:p>
        </w:tc>
        <w:tc>
          <w:tcPr>
            <w:tcW w:w="2445" w:type="dxa"/>
          </w:tcPr>
          <w:p w:rsidR="00BE693C" w:rsidRPr="00D00D54" w:rsidRDefault="00BE693C" w:rsidP="00B72D23">
            <w:pPr>
              <w:bidi/>
              <w:cnfStyle w:val="000000010000"/>
              <w:rPr>
                <w:rFonts w:ascii="Traditional Arabic" w:hAnsi="Traditional Arabic" w:cs="Traditional Arabic"/>
                <w:b/>
                <w:bCs/>
                <w:sz w:val="28"/>
                <w:szCs w:val="28"/>
                <w:rtl/>
                <w:lang w:bidi="ar-DZ"/>
              </w:rPr>
            </w:pPr>
          </w:p>
        </w:tc>
        <w:tc>
          <w:tcPr>
            <w:tcW w:w="2445" w:type="dxa"/>
          </w:tcPr>
          <w:p w:rsidR="00BE693C" w:rsidRPr="00D00D54" w:rsidRDefault="00D00D54" w:rsidP="00B72D23">
            <w:pPr>
              <w:bidi/>
              <w:cnfStyle w:val="000000010000"/>
              <w:rPr>
                <w:rFonts w:ascii="Traditional Arabic" w:hAnsi="Traditional Arabic" w:cs="Traditional Arabic"/>
                <w:b/>
                <w:bCs/>
                <w:sz w:val="28"/>
                <w:szCs w:val="28"/>
                <w:rtl/>
                <w:lang w:bidi="ar-DZ"/>
              </w:rPr>
            </w:pPr>
            <w:r w:rsidRPr="00D00D54">
              <w:rPr>
                <w:rFonts w:ascii="Traditional Arabic" w:hAnsi="Traditional Arabic" w:cs="Traditional Arabic"/>
                <w:b/>
                <w:bCs/>
                <w:sz w:val="28"/>
                <w:szCs w:val="28"/>
                <w:lang w:bidi="ar-DZ"/>
              </w:rPr>
              <w:t>25,53</w:t>
            </w:r>
          </w:p>
        </w:tc>
      </w:tr>
    </w:tbl>
    <w:p w:rsidR="00BE693C" w:rsidRPr="001D33C2" w:rsidRDefault="00D00D54"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2009-2013</w:t>
      </w:r>
    </w:p>
    <w:p w:rsidR="00D00D54" w:rsidRPr="00D00D54" w:rsidRDefault="00D00D54" w:rsidP="00B72D23">
      <w:pPr>
        <w:bidi/>
        <w:spacing w:line="240" w:lineRule="auto"/>
        <w:jc w:val="center"/>
        <w:rPr>
          <w:rFonts w:ascii="Traditional Arabic" w:hAnsi="Traditional Arabic" w:cs="Traditional Arabic"/>
          <w:b/>
          <w:bCs/>
          <w:sz w:val="28"/>
          <w:szCs w:val="28"/>
          <w:rtl/>
          <w:lang w:bidi="ar-DZ"/>
        </w:rPr>
      </w:pPr>
      <w:r w:rsidRPr="00D00D54">
        <w:rPr>
          <w:rFonts w:ascii="Traditional Arabic" w:hAnsi="Traditional Arabic" w:cs="Traditional Arabic" w:hint="cs"/>
          <w:b/>
          <w:bCs/>
          <w:sz w:val="28"/>
          <w:szCs w:val="28"/>
          <w:rtl/>
          <w:lang w:bidi="ar-DZ"/>
        </w:rPr>
        <w:t>الشكل رقم (04): تطور نسبة النقدية إلى إجمالي الودائع في بنك دبي الإسلامي خلال 2009-2013</w:t>
      </w:r>
    </w:p>
    <w:p w:rsidR="00697B0F" w:rsidRDefault="00D00D54"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val="en-US"/>
        </w:rPr>
        <w:drawing>
          <wp:inline distT="0" distB="0" distL="0" distR="0">
            <wp:extent cx="4826083" cy="2776921"/>
            <wp:effectExtent l="19050" t="0" r="12617" b="4379"/>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D54" w:rsidRPr="001D33C2" w:rsidRDefault="00D00D54"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442A88" w:rsidRDefault="00442A88" w:rsidP="00B72D23">
      <w:pPr>
        <w:bidi/>
        <w:spacing w:line="240" w:lineRule="auto"/>
        <w:rPr>
          <w:rFonts w:ascii="Traditional Arabic" w:hAnsi="Traditional Arabic" w:cs="Traditional Arabic"/>
          <w:sz w:val="28"/>
          <w:szCs w:val="28"/>
          <w:rtl/>
          <w:lang w:bidi="ar-DZ"/>
        </w:rPr>
      </w:pPr>
      <w:r w:rsidRPr="00442A88">
        <w:rPr>
          <w:rFonts w:ascii="Traditional Arabic" w:hAnsi="Traditional Arabic" w:cs="Traditional Arabic" w:hint="cs"/>
          <w:sz w:val="28"/>
          <w:szCs w:val="28"/>
          <w:rtl/>
          <w:lang w:bidi="ar-DZ"/>
        </w:rPr>
        <w:t>من الجدول السابق نلاحظ ما يلي:</w:t>
      </w:r>
    </w:p>
    <w:p w:rsidR="00442A88" w:rsidRDefault="00442A88"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نسبة النقدية إلى إجمالي الودائع في البنك متفاوتة من سنة إلى أخرى، حيث نلاحظ ارتفاعها تدريجيا من سنة 2009 إلى سنة 2013 لتصل في هذه الأخيرة إلى الحد الاقصى لها والمقدرة ب: 39,56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442A88" w:rsidRDefault="00442A88"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بلغ متوسط النسب النقدية إلى إجمالي الودائع 25,63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ويعتبر مؤشر مقبول لقدرة البنك في رد الودائع من خلال النقدية المتاحة لدية، إلا أن هذا المؤشر يعتبر مظللا لاحتوائه قيم شاذة والمتمثلة في قيمة السنة الأخيرة 2013، وسبب ارتفاع نسبة </w:t>
      </w:r>
      <w:r>
        <w:rPr>
          <w:rFonts w:ascii="Traditional Arabic" w:hAnsi="Traditional Arabic" w:cs="Traditional Arabic" w:hint="cs"/>
          <w:sz w:val="28"/>
          <w:szCs w:val="28"/>
          <w:rtl/>
          <w:lang w:bidi="ar-DZ"/>
        </w:rPr>
        <w:lastRenderedPageBreak/>
        <w:t>النقدية إلى إجمالي الودائع هذه السنة يرجع إلى زيادة ودائع العملاء خاصة الودائع الاستثمارية بسبب اطوئنان المودعين بعد الاستقرار المالي والانتعاش الاقتصادي الذي شهدته مؤخرا دولة الامارات العربية المتحدة.</w:t>
      </w:r>
    </w:p>
    <w:p w:rsidR="00442A88" w:rsidRPr="00085006" w:rsidRDefault="00442A88"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وباستبعاد هذه القيمة الشاذة يصبح المتوسط 22,15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أي أن المدى المقبول لنسبة النقدية إلى إجمالي الودائع الخاصة ببنك دبي الإسلامي محصور بين 22,15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25,63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w:t>
      </w:r>
    </w:p>
    <w:p w:rsidR="00D00D54" w:rsidRDefault="00D00D54" w:rsidP="00B72D23">
      <w:pPr>
        <w:bidi/>
        <w:spacing w:line="240" w:lineRule="auto"/>
        <w:rPr>
          <w:rFonts w:ascii="Traditional Arabic" w:hAnsi="Traditional Arabic" w:cs="Traditional Arabic"/>
          <w:b/>
          <w:bCs/>
          <w:sz w:val="28"/>
          <w:szCs w:val="28"/>
          <w:rtl/>
          <w:lang w:bidi="ar-DZ"/>
        </w:rPr>
      </w:pPr>
      <w:r w:rsidRPr="00D00D54">
        <w:rPr>
          <w:rFonts w:ascii="Traditional Arabic" w:hAnsi="Traditional Arabic" w:cs="Traditional Arabic" w:hint="cs"/>
          <w:b/>
          <w:bCs/>
          <w:sz w:val="28"/>
          <w:szCs w:val="28"/>
          <w:rtl/>
          <w:lang w:bidi="ar-DZ"/>
        </w:rPr>
        <w:t xml:space="preserve">3- نسبة الأصول السائلة إلى إجمالي الودائع ونسبة الأصول السائلة إلى أرصدة إجمالي الأصول في بنك دبي </w:t>
      </w:r>
      <w:r>
        <w:rPr>
          <w:rFonts w:ascii="Traditional Arabic" w:hAnsi="Traditional Arabic" w:cs="Traditional Arabic" w:hint="cs"/>
          <w:b/>
          <w:bCs/>
          <w:sz w:val="28"/>
          <w:szCs w:val="28"/>
          <w:rtl/>
          <w:lang w:bidi="ar-DZ"/>
        </w:rPr>
        <w:t>الإسلامي</w:t>
      </w:r>
    </w:p>
    <w:p w:rsidR="00D00D54" w:rsidRDefault="00D00D54"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أ- نسبة الأصول السائلة إلى إجمالي الودائع: </w:t>
      </w:r>
      <w:r>
        <w:rPr>
          <w:rFonts w:ascii="Traditional Arabic" w:hAnsi="Traditional Arabic" w:cs="Traditional Arabic" w:hint="cs"/>
          <w:sz w:val="28"/>
          <w:szCs w:val="28"/>
          <w:rtl/>
          <w:lang w:bidi="ar-DZ"/>
        </w:rPr>
        <w:t>تقيس هذه النسبة مدى إمكانية البنك رد الودائع سريعة الطلب من قبل العملاء</w:t>
      </w:r>
    </w:p>
    <w:p w:rsidR="00D00D54" w:rsidRDefault="00D00D54"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ويمكن حسابها كالتالي:</w:t>
      </w:r>
    </w:p>
    <w:p w:rsidR="00D00D54" w:rsidRPr="00D00D54" w:rsidRDefault="00D00D54"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D00D54">
        <w:rPr>
          <w:rFonts w:ascii="Traditional Arabic" w:hAnsi="Traditional Arabic" w:cs="Traditional Arabic" w:hint="cs"/>
          <w:b/>
          <w:bCs/>
          <w:sz w:val="28"/>
          <w:szCs w:val="28"/>
          <w:rtl/>
          <w:lang w:bidi="ar-DZ"/>
        </w:rPr>
        <w:t>نسبة الأصول السائلة إلى إجمالي الودائع= الأصول السائلة/إجمالي الودائع</w:t>
      </w:r>
    </w:p>
    <w:p w:rsidR="008E1A3E" w:rsidRPr="00766938" w:rsidRDefault="00185415" w:rsidP="00766938">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2009-2013</w:t>
      </w:r>
    </w:p>
    <w:p w:rsidR="00185415" w:rsidRDefault="00185415" w:rsidP="008E1A3E">
      <w:pPr>
        <w:bidi/>
        <w:spacing w:line="240" w:lineRule="auto"/>
        <w:jc w:val="center"/>
        <w:rPr>
          <w:rFonts w:ascii="Traditional Arabic" w:hAnsi="Traditional Arabic" w:cs="Traditional Arabic"/>
          <w:b/>
          <w:bCs/>
          <w:sz w:val="28"/>
          <w:szCs w:val="28"/>
          <w:rtl/>
          <w:lang w:bidi="ar-DZ"/>
        </w:rPr>
      </w:pPr>
      <w:r w:rsidRPr="00185415">
        <w:rPr>
          <w:rFonts w:ascii="Traditional Arabic" w:hAnsi="Traditional Arabic" w:cs="Traditional Arabic" w:hint="cs"/>
          <w:b/>
          <w:bCs/>
          <w:sz w:val="28"/>
          <w:szCs w:val="28"/>
          <w:rtl/>
          <w:lang w:bidi="ar-DZ"/>
        </w:rPr>
        <w:t>الجدول رقم (05): تطور نسبة الأصول السائلة إلى إجمالي الودائع خلال 2009-2013</w:t>
      </w:r>
    </w:p>
    <w:p w:rsidR="00185415" w:rsidRPr="00185415" w:rsidRDefault="00185415" w:rsidP="00B72D23">
      <w:pPr>
        <w:bidi/>
        <w:spacing w:line="240" w:lineRule="auto"/>
        <w:jc w:val="right"/>
        <w:rPr>
          <w:rFonts w:ascii="Traditional Arabic" w:hAnsi="Traditional Arabic" w:cs="Traditional Arabic"/>
          <w:sz w:val="28"/>
          <w:szCs w:val="28"/>
          <w:rtl/>
          <w:lang w:bidi="ar-DZ"/>
        </w:rPr>
      </w:pPr>
      <w:r w:rsidRPr="00185415">
        <w:rPr>
          <w:rFonts w:ascii="Traditional Arabic" w:hAnsi="Traditional Arabic" w:cs="Traditional Arabic" w:hint="cs"/>
          <w:sz w:val="28"/>
          <w:szCs w:val="28"/>
          <w:rtl/>
          <w:lang w:bidi="ar-DZ"/>
        </w:rPr>
        <w:t>الوحدة: الف درهم اماراتي</w:t>
      </w:r>
    </w:p>
    <w:tbl>
      <w:tblPr>
        <w:tblStyle w:val="Grilleclaire-Accent11"/>
        <w:bidiVisual/>
        <w:tblW w:w="10014" w:type="dxa"/>
        <w:tblLook w:val="04A0"/>
      </w:tblPr>
      <w:tblGrid>
        <w:gridCol w:w="1524"/>
        <w:gridCol w:w="5103"/>
        <w:gridCol w:w="1418"/>
        <w:gridCol w:w="1969"/>
      </w:tblGrid>
      <w:tr w:rsidR="00185415" w:rsidTr="00092710">
        <w:trPr>
          <w:cnfStyle w:val="100000000000"/>
        </w:trPr>
        <w:tc>
          <w:tcPr>
            <w:cnfStyle w:val="001000000000"/>
            <w:tcW w:w="1524" w:type="dxa"/>
          </w:tcPr>
          <w:p w:rsidR="00185415" w:rsidRDefault="00185415"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السنوات/ البيان</w:t>
            </w:r>
          </w:p>
        </w:tc>
        <w:tc>
          <w:tcPr>
            <w:tcW w:w="5103" w:type="dxa"/>
          </w:tcPr>
          <w:p w:rsidR="00185415" w:rsidRDefault="00185415"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مجموع الأصول السائلة (</w:t>
            </w:r>
            <w:r w:rsidR="007F245E">
              <w:rPr>
                <w:rFonts w:ascii="Traditional Arabic" w:hAnsi="Traditional Arabic" w:cs="Traditional Arabic" w:hint="cs"/>
                <w:sz w:val="28"/>
                <w:szCs w:val="28"/>
                <w:rtl/>
                <w:lang w:bidi="ar-DZ"/>
              </w:rPr>
              <w:t>نقدية وارصدة لدى البنك المركزي+ ودائع وارصدة لدى البنوك والمؤسسات أخرى+ شبه النقد)</w:t>
            </w:r>
          </w:p>
        </w:tc>
        <w:tc>
          <w:tcPr>
            <w:tcW w:w="1418" w:type="dxa"/>
          </w:tcPr>
          <w:p w:rsidR="00185415" w:rsidRDefault="007F245E"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إجمالي الودائع</w:t>
            </w:r>
          </w:p>
        </w:tc>
        <w:tc>
          <w:tcPr>
            <w:tcW w:w="1969" w:type="dxa"/>
          </w:tcPr>
          <w:p w:rsidR="00185415" w:rsidRDefault="007F245E" w:rsidP="00B72D23">
            <w:pPr>
              <w:bidi/>
              <w:cnfStyle w:val="10000000000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نسبة الأصول السائلة إلى إجمالي الودائع</w:t>
            </w:r>
            <w:r>
              <w:rPr>
                <w:rFonts w:ascii="Traditional Arabic" w:hAnsi="Traditional Arabic" w:cs="Traditional Arabic"/>
                <w:sz w:val="28"/>
                <w:szCs w:val="28"/>
                <w:rtl/>
                <w:lang w:bidi="ar-DZ"/>
              </w:rPr>
              <w:t>%</w:t>
            </w:r>
          </w:p>
        </w:tc>
      </w:tr>
      <w:tr w:rsidR="00185415" w:rsidTr="00092710">
        <w:trPr>
          <w:cnfStyle w:val="000000100000"/>
        </w:trPr>
        <w:tc>
          <w:tcPr>
            <w:cnfStyle w:val="001000000000"/>
            <w:tcW w:w="1524" w:type="dxa"/>
          </w:tcPr>
          <w:p w:rsidR="00185415" w:rsidRPr="007F245E" w:rsidRDefault="007F245E" w:rsidP="00B72D23">
            <w:pPr>
              <w:bidi/>
              <w:rPr>
                <w:rFonts w:ascii="Traditional Arabic" w:hAnsi="Traditional Arabic" w:cs="Traditional Arabic"/>
                <w:sz w:val="28"/>
                <w:szCs w:val="28"/>
                <w:lang w:val="en-ZA" w:bidi="ar-DZ"/>
              </w:rPr>
            </w:pPr>
            <w:r>
              <w:rPr>
                <w:rFonts w:ascii="Traditional Arabic" w:hAnsi="Traditional Arabic" w:cs="Traditional Arabic"/>
                <w:sz w:val="28"/>
                <w:szCs w:val="28"/>
                <w:lang w:val="en-ZA" w:bidi="ar-DZ"/>
              </w:rPr>
              <w:t>2009</w:t>
            </w:r>
          </w:p>
        </w:tc>
        <w:tc>
          <w:tcPr>
            <w:tcW w:w="5103"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14168828</w:t>
            </w:r>
          </w:p>
        </w:tc>
        <w:tc>
          <w:tcPr>
            <w:tcW w:w="1418"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65644554</w:t>
            </w:r>
          </w:p>
        </w:tc>
        <w:tc>
          <w:tcPr>
            <w:tcW w:w="1969"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21,58</w:t>
            </w:r>
          </w:p>
        </w:tc>
      </w:tr>
      <w:tr w:rsidR="00185415" w:rsidTr="00092710">
        <w:trPr>
          <w:cnfStyle w:val="000000010000"/>
        </w:trPr>
        <w:tc>
          <w:tcPr>
            <w:cnfStyle w:val="001000000000"/>
            <w:tcW w:w="1524" w:type="dxa"/>
          </w:tcPr>
          <w:p w:rsidR="00185415" w:rsidRDefault="007F245E"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2010</w:t>
            </w:r>
          </w:p>
        </w:tc>
        <w:tc>
          <w:tcPr>
            <w:tcW w:w="5103"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13603756</w:t>
            </w:r>
          </w:p>
        </w:tc>
        <w:tc>
          <w:tcPr>
            <w:tcW w:w="1418"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67856497</w:t>
            </w:r>
          </w:p>
        </w:tc>
        <w:tc>
          <w:tcPr>
            <w:tcW w:w="1969"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20,05</w:t>
            </w:r>
          </w:p>
        </w:tc>
      </w:tr>
      <w:tr w:rsidR="00185415" w:rsidTr="00092710">
        <w:trPr>
          <w:cnfStyle w:val="000000100000"/>
        </w:trPr>
        <w:tc>
          <w:tcPr>
            <w:cnfStyle w:val="001000000000"/>
            <w:tcW w:w="1524" w:type="dxa"/>
          </w:tcPr>
          <w:p w:rsidR="00185415" w:rsidRDefault="007F245E"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2011</w:t>
            </w:r>
          </w:p>
        </w:tc>
        <w:tc>
          <w:tcPr>
            <w:tcW w:w="5103"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15995415</w:t>
            </w:r>
          </w:p>
        </w:tc>
        <w:tc>
          <w:tcPr>
            <w:tcW w:w="1418"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68823750</w:t>
            </w:r>
          </w:p>
        </w:tc>
        <w:tc>
          <w:tcPr>
            <w:tcW w:w="1969"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23,04</w:t>
            </w:r>
          </w:p>
        </w:tc>
      </w:tr>
      <w:tr w:rsidR="00185415" w:rsidTr="00092710">
        <w:trPr>
          <w:cnfStyle w:val="000000010000"/>
        </w:trPr>
        <w:tc>
          <w:tcPr>
            <w:cnfStyle w:val="001000000000"/>
            <w:tcW w:w="1524" w:type="dxa"/>
          </w:tcPr>
          <w:p w:rsidR="00185415" w:rsidRDefault="007F245E"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2012</w:t>
            </w:r>
          </w:p>
        </w:tc>
        <w:tc>
          <w:tcPr>
            <w:tcW w:w="5103"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18642663</w:t>
            </w:r>
          </w:p>
        </w:tc>
        <w:tc>
          <w:tcPr>
            <w:tcW w:w="1418"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72959141</w:t>
            </w:r>
          </w:p>
        </w:tc>
        <w:tc>
          <w:tcPr>
            <w:tcW w:w="1969"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25,52</w:t>
            </w:r>
          </w:p>
        </w:tc>
      </w:tr>
      <w:tr w:rsidR="00185415" w:rsidTr="00092710">
        <w:trPr>
          <w:cnfStyle w:val="000000100000"/>
        </w:trPr>
        <w:tc>
          <w:tcPr>
            <w:cnfStyle w:val="001000000000"/>
            <w:tcW w:w="1524" w:type="dxa"/>
          </w:tcPr>
          <w:p w:rsidR="00185415" w:rsidRDefault="007F245E" w:rsidP="00B72D23">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2013</w:t>
            </w:r>
          </w:p>
        </w:tc>
        <w:tc>
          <w:tcPr>
            <w:tcW w:w="5103"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32318332</w:t>
            </w:r>
          </w:p>
        </w:tc>
        <w:tc>
          <w:tcPr>
            <w:tcW w:w="1418"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81690547</w:t>
            </w:r>
          </w:p>
        </w:tc>
        <w:tc>
          <w:tcPr>
            <w:tcW w:w="1969" w:type="dxa"/>
          </w:tcPr>
          <w:p w:rsidR="00185415" w:rsidRDefault="007F245E" w:rsidP="00B72D23">
            <w:pPr>
              <w:bidi/>
              <w:cnfStyle w:val="00000010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39,56</w:t>
            </w:r>
          </w:p>
        </w:tc>
      </w:tr>
      <w:tr w:rsidR="00185415" w:rsidTr="00092710">
        <w:trPr>
          <w:cnfStyle w:val="000000010000"/>
        </w:trPr>
        <w:tc>
          <w:tcPr>
            <w:cnfStyle w:val="001000000000"/>
            <w:tcW w:w="1524" w:type="dxa"/>
          </w:tcPr>
          <w:p w:rsidR="00185415" w:rsidRDefault="007F245E" w:rsidP="00B72D23">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المتوسط</w:t>
            </w:r>
          </w:p>
        </w:tc>
        <w:tc>
          <w:tcPr>
            <w:tcW w:w="5103" w:type="dxa"/>
          </w:tcPr>
          <w:p w:rsidR="00185415" w:rsidRDefault="00185415" w:rsidP="00B72D23">
            <w:pPr>
              <w:bidi/>
              <w:cnfStyle w:val="000000010000"/>
              <w:rPr>
                <w:rFonts w:ascii="Traditional Arabic" w:hAnsi="Traditional Arabic" w:cs="Traditional Arabic"/>
                <w:sz w:val="28"/>
                <w:szCs w:val="28"/>
                <w:rtl/>
                <w:lang w:bidi="ar-DZ"/>
              </w:rPr>
            </w:pPr>
          </w:p>
        </w:tc>
        <w:tc>
          <w:tcPr>
            <w:tcW w:w="1418" w:type="dxa"/>
          </w:tcPr>
          <w:p w:rsidR="00185415" w:rsidRDefault="00185415" w:rsidP="00B72D23">
            <w:pPr>
              <w:bidi/>
              <w:cnfStyle w:val="000000010000"/>
              <w:rPr>
                <w:rFonts w:ascii="Traditional Arabic" w:hAnsi="Traditional Arabic" w:cs="Traditional Arabic"/>
                <w:sz w:val="28"/>
                <w:szCs w:val="28"/>
                <w:rtl/>
                <w:lang w:bidi="ar-DZ"/>
              </w:rPr>
            </w:pPr>
          </w:p>
        </w:tc>
        <w:tc>
          <w:tcPr>
            <w:tcW w:w="1969" w:type="dxa"/>
          </w:tcPr>
          <w:p w:rsidR="00185415" w:rsidRDefault="007F245E" w:rsidP="00B72D23">
            <w:pPr>
              <w:bidi/>
              <w:cnfStyle w:val="000000010000"/>
              <w:rPr>
                <w:rFonts w:ascii="Traditional Arabic" w:hAnsi="Traditional Arabic" w:cs="Traditional Arabic"/>
                <w:sz w:val="28"/>
                <w:szCs w:val="28"/>
                <w:rtl/>
                <w:lang w:bidi="ar-DZ"/>
              </w:rPr>
            </w:pPr>
            <w:r>
              <w:rPr>
                <w:rFonts w:ascii="Traditional Arabic" w:hAnsi="Traditional Arabic" w:cs="Traditional Arabic"/>
                <w:sz w:val="28"/>
                <w:szCs w:val="28"/>
                <w:lang w:bidi="ar-DZ"/>
              </w:rPr>
              <w:t>25,99</w:t>
            </w:r>
          </w:p>
        </w:tc>
      </w:tr>
    </w:tbl>
    <w:p w:rsidR="007F245E" w:rsidRPr="00092710" w:rsidRDefault="007F245E" w:rsidP="00B72D23">
      <w:pPr>
        <w:bidi/>
        <w:spacing w:line="240" w:lineRule="auto"/>
        <w:rPr>
          <w:rFonts w:ascii="Traditional Arabic" w:hAnsi="Traditional Arabic" w:cs="Traditional Arabic"/>
          <w:sz w:val="24"/>
          <w:szCs w:val="24"/>
          <w:rtl/>
          <w:lang w:bidi="ar-DZ"/>
        </w:rPr>
      </w:pPr>
      <w:r w:rsidRPr="00092710">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AF1F4B" w:rsidRPr="00AF1F4B" w:rsidRDefault="00AF1F4B" w:rsidP="00B72D23">
      <w:pPr>
        <w:bidi/>
        <w:spacing w:line="240" w:lineRule="auto"/>
        <w:jc w:val="center"/>
        <w:rPr>
          <w:rFonts w:ascii="Traditional Arabic" w:hAnsi="Traditional Arabic" w:cs="Traditional Arabic"/>
          <w:b/>
          <w:bCs/>
          <w:sz w:val="28"/>
          <w:szCs w:val="28"/>
          <w:rtl/>
          <w:lang w:bidi="ar-DZ"/>
        </w:rPr>
      </w:pPr>
      <w:r w:rsidRPr="00AF1F4B">
        <w:rPr>
          <w:rFonts w:ascii="Traditional Arabic" w:hAnsi="Traditional Arabic" w:cs="Traditional Arabic" w:hint="cs"/>
          <w:b/>
          <w:bCs/>
          <w:sz w:val="28"/>
          <w:szCs w:val="28"/>
          <w:rtl/>
          <w:lang w:bidi="ar-DZ"/>
        </w:rPr>
        <w:t>الشكل رقم (05): تطور نسبة الأصول السائلة إلى إجمالي الودائع خلال 2009-2013</w:t>
      </w:r>
    </w:p>
    <w:p w:rsidR="007F245E" w:rsidRDefault="00AF1F4B"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noProof/>
          <w:sz w:val="28"/>
          <w:szCs w:val="28"/>
          <w:rtl/>
          <w:lang w:val="en-US"/>
        </w:rPr>
        <w:lastRenderedPageBreak/>
        <w:drawing>
          <wp:inline distT="0" distB="0" distL="0" distR="0">
            <wp:extent cx="4857750" cy="2347784"/>
            <wp:effectExtent l="19050" t="0" r="1905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D54" w:rsidRPr="00092710" w:rsidRDefault="00AF1F4B" w:rsidP="00B72D23">
      <w:pPr>
        <w:bidi/>
        <w:spacing w:line="240" w:lineRule="auto"/>
        <w:rPr>
          <w:rFonts w:ascii="Traditional Arabic" w:hAnsi="Traditional Arabic" w:cs="Traditional Arabic"/>
          <w:sz w:val="24"/>
          <w:szCs w:val="24"/>
          <w:rtl/>
          <w:lang w:bidi="ar-DZ"/>
        </w:rPr>
      </w:pPr>
      <w:r w:rsidRPr="00092710">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AF1F4B" w:rsidRDefault="00AF1F4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نلاحظ من الجدول أعلاه ما يلي:</w:t>
      </w:r>
    </w:p>
    <w:p w:rsidR="00AF1F4B" w:rsidRDefault="00AF1F4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أن نسبة الأصول السائلة إلى إجمالي الودائع الخاصة ببنك دبي الإسلامي متغيرة من سنة إلى أخرى، فنجدها سنة 2009 بنسبة 21,58</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ثم انخفضت قليلا سنة 2010 إلى نسبة 20,05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وتبدا بعدها في الارتفاع المستمر حتى غاية 2013 بنسبة 39,56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وهذه القيمة تعد قيمة شاذة وسبب الارتفاع يرجع إلى ارتفاع الودائع لدى البنك هذه السنة خاصة الودائع الاستثمارية وتليها الودائع الجارية وهذه الودائع قابلة للسحب في أي وقت وبالتالي قام بنك دبي الإسلامي بتوفير الأصول السائلة والقابلة للتسييل بشكل كبير من اجل مواجهة هذه السحوبات.</w:t>
      </w:r>
    </w:p>
    <w:p w:rsidR="00AF1F4B" w:rsidRDefault="00AF1F4B"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قدر متوسط النسب ب: 25,99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وهو دليل على إمكانية البنك في رد الودائع سريعة الطلب من قبل المودعين إلا انه يعد مؤشرا مضللا وباستبعاد القيم الشاذة يصبح المتوسط 22,54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ليكون مدى نسبة الأصول السائلة إلى إجمالي الودائع لبنك دبي الإسلامي يتراوح ما بين 25,99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22,54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وهي نسبة مقبولة يمكن اعتمادها كمعيار لقياس النسب المثلى.</w:t>
      </w:r>
    </w:p>
    <w:p w:rsidR="00AF1F4B" w:rsidRDefault="00AF1F4B" w:rsidP="00B72D23">
      <w:pPr>
        <w:bidi/>
        <w:spacing w:line="240" w:lineRule="auto"/>
        <w:rPr>
          <w:rFonts w:ascii="Traditional Arabic" w:hAnsi="Traditional Arabic" w:cs="Traditional Arabic"/>
          <w:sz w:val="28"/>
          <w:szCs w:val="28"/>
          <w:rtl/>
          <w:lang w:bidi="ar-DZ"/>
        </w:rPr>
      </w:pPr>
      <w:r w:rsidRPr="00AF1F4B">
        <w:rPr>
          <w:rFonts w:ascii="Traditional Arabic" w:hAnsi="Traditional Arabic" w:cs="Traditional Arabic" w:hint="cs"/>
          <w:b/>
          <w:bCs/>
          <w:sz w:val="28"/>
          <w:szCs w:val="28"/>
          <w:rtl/>
          <w:lang w:bidi="ar-DZ"/>
        </w:rPr>
        <w:t>ب- نسبة الأصول السائلة إلى أرصدة إجمالي الأصول</w:t>
      </w:r>
      <w:r>
        <w:rPr>
          <w:rFonts w:ascii="Traditional Arabic" w:hAnsi="Traditional Arabic" w:cs="Traditional Arabic" w:hint="cs"/>
          <w:sz w:val="28"/>
          <w:szCs w:val="28"/>
          <w:rtl/>
          <w:lang w:bidi="ar-DZ"/>
        </w:rPr>
        <w:t xml:space="preserve">: </w:t>
      </w:r>
      <w:r w:rsidR="00092710">
        <w:rPr>
          <w:rFonts w:ascii="Traditional Arabic" w:hAnsi="Traditional Arabic" w:cs="Traditional Arabic" w:hint="cs"/>
          <w:sz w:val="28"/>
          <w:szCs w:val="28"/>
          <w:rtl/>
          <w:lang w:bidi="ar-DZ"/>
        </w:rPr>
        <w:t>وتفيد هذه النسبة في الوقوف على الأهمية النسبية للاصول السائلة بين مجموع الأصول الكلية للبنك بما يسهم في التعرف على موقف السيولة بالنسبة لبقية استخدامات البنك المختلفة.</w:t>
      </w:r>
    </w:p>
    <w:p w:rsidR="00092710" w:rsidRDefault="00092710"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قياس هذه النسبة كما يلي:</w:t>
      </w:r>
    </w:p>
    <w:p w:rsidR="00092710" w:rsidRPr="00092710" w:rsidRDefault="00092710"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092710">
        <w:rPr>
          <w:rFonts w:ascii="Traditional Arabic" w:hAnsi="Traditional Arabic" w:cs="Traditional Arabic" w:hint="cs"/>
          <w:b/>
          <w:bCs/>
          <w:sz w:val="28"/>
          <w:szCs w:val="28"/>
          <w:rtl/>
          <w:lang w:bidi="ar-DZ"/>
        </w:rPr>
        <w:t>نسبة الأصول السائلة إلى ارصدة إجمالي الأصول= الأصول السائلة (النقدية+الشبه نقدية)/إجمالي الاصول</w:t>
      </w:r>
    </w:p>
    <w:p w:rsidR="00D00D54" w:rsidRDefault="00092710"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فترة الدراسة:</w:t>
      </w:r>
    </w:p>
    <w:p w:rsidR="00092710" w:rsidRDefault="00092710" w:rsidP="00B72D23">
      <w:pPr>
        <w:bidi/>
        <w:spacing w:line="240" w:lineRule="auto"/>
        <w:jc w:val="center"/>
        <w:rPr>
          <w:rFonts w:ascii="Traditional Arabic" w:hAnsi="Traditional Arabic" w:cs="Traditional Arabic"/>
          <w:b/>
          <w:bCs/>
          <w:sz w:val="28"/>
          <w:szCs w:val="28"/>
          <w:rtl/>
          <w:lang w:bidi="ar-DZ"/>
        </w:rPr>
      </w:pPr>
      <w:r w:rsidRPr="00092710">
        <w:rPr>
          <w:rFonts w:ascii="Traditional Arabic" w:hAnsi="Traditional Arabic" w:cs="Traditional Arabic" w:hint="cs"/>
          <w:b/>
          <w:bCs/>
          <w:sz w:val="28"/>
          <w:szCs w:val="28"/>
          <w:rtl/>
          <w:lang w:bidi="ar-DZ"/>
        </w:rPr>
        <w:t>الجدول رقم (06): تطور نسبة الأصول السائلة إلى ارصدة إجمالي الأصول خلال الفترة 2009-2013</w:t>
      </w:r>
    </w:p>
    <w:p w:rsidR="00092710" w:rsidRPr="00092710" w:rsidRDefault="00092710" w:rsidP="00B72D23">
      <w:pPr>
        <w:bidi/>
        <w:spacing w:line="240" w:lineRule="auto"/>
        <w:jc w:val="right"/>
        <w:rPr>
          <w:rFonts w:ascii="Traditional Arabic" w:hAnsi="Traditional Arabic" w:cs="Traditional Arabic"/>
          <w:sz w:val="28"/>
          <w:szCs w:val="28"/>
          <w:rtl/>
          <w:lang w:bidi="ar-DZ"/>
        </w:rPr>
      </w:pPr>
      <w:r w:rsidRPr="00092710">
        <w:rPr>
          <w:rFonts w:ascii="Traditional Arabic" w:hAnsi="Traditional Arabic" w:cs="Traditional Arabic" w:hint="cs"/>
          <w:sz w:val="28"/>
          <w:szCs w:val="28"/>
          <w:rtl/>
          <w:lang w:bidi="ar-DZ"/>
        </w:rPr>
        <w:t>الوحدة: الف درهم اماراتي</w:t>
      </w:r>
    </w:p>
    <w:tbl>
      <w:tblPr>
        <w:tblStyle w:val="Grilleclaire-Accent11"/>
        <w:bidiVisual/>
        <w:tblW w:w="0" w:type="auto"/>
        <w:tblLook w:val="04A0"/>
      </w:tblPr>
      <w:tblGrid>
        <w:gridCol w:w="1468"/>
        <w:gridCol w:w="3847"/>
        <w:gridCol w:w="1936"/>
        <w:gridCol w:w="2035"/>
      </w:tblGrid>
      <w:tr w:rsidR="00092710" w:rsidTr="000D1176">
        <w:trPr>
          <w:cnfStyle w:val="10000000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hint="cs"/>
                <w:sz w:val="28"/>
                <w:szCs w:val="28"/>
                <w:rtl/>
                <w:lang w:bidi="ar-DZ"/>
              </w:rPr>
              <w:t>السنوات/ البيان</w:t>
            </w:r>
          </w:p>
        </w:tc>
        <w:tc>
          <w:tcPr>
            <w:tcW w:w="4111" w:type="dxa"/>
          </w:tcPr>
          <w:p w:rsidR="00092710" w:rsidRPr="000D1176" w:rsidRDefault="000D1176" w:rsidP="00B72D23">
            <w:pPr>
              <w:bidi/>
              <w:cnfStyle w:val="100000000000"/>
              <w:rPr>
                <w:rFonts w:ascii="Traditional Arabic" w:hAnsi="Traditional Arabic" w:cs="Traditional Arabic"/>
                <w:sz w:val="28"/>
                <w:szCs w:val="28"/>
                <w:rtl/>
                <w:lang w:bidi="ar-DZ"/>
              </w:rPr>
            </w:pPr>
            <w:r w:rsidRPr="000D1176">
              <w:rPr>
                <w:rFonts w:ascii="Traditional Arabic" w:hAnsi="Traditional Arabic" w:cs="Traditional Arabic" w:hint="cs"/>
                <w:sz w:val="28"/>
                <w:szCs w:val="28"/>
                <w:rtl/>
                <w:lang w:bidi="ar-DZ"/>
              </w:rPr>
              <w:t xml:space="preserve">إجمالي الأصول السائلة (نقدية وارصدة لدى البنك المركزي + ودائع وارصدة لدى البنوك </w:t>
            </w:r>
            <w:r w:rsidRPr="000D1176">
              <w:rPr>
                <w:rFonts w:ascii="Traditional Arabic" w:hAnsi="Traditional Arabic" w:cs="Traditional Arabic" w:hint="cs"/>
                <w:sz w:val="28"/>
                <w:szCs w:val="28"/>
                <w:rtl/>
                <w:lang w:bidi="ar-DZ"/>
              </w:rPr>
              <w:lastRenderedPageBreak/>
              <w:t>والمؤسسات الأخرى+ شبه نقدية)</w:t>
            </w:r>
          </w:p>
        </w:tc>
        <w:tc>
          <w:tcPr>
            <w:tcW w:w="1984" w:type="dxa"/>
          </w:tcPr>
          <w:p w:rsidR="00092710" w:rsidRPr="000D1176" w:rsidRDefault="000D1176" w:rsidP="00B72D23">
            <w:pPr>
              <w:bidi/>
              <w:cnfStyle w:val="100000000000"/>
              <w:rPr>
                <w:rFonts w:ascii="Traditional Arabic" w:hAnsi="Traditional Arabic" w:cs="Traditional Arabic"/>
                <w:sz w:val="28"/>
                <w:szCs w:val="28"/>
                <w:rtl/>
                <w:lang w:bidi="ar-DZ"/>
              </w:rPr>
            </w:pPr>
            <w:r w:rsidRPr="000D1176">
              <w:rPr>
                <w:rFonts w:ascii="Traditional Arabic" w:hAnsi="Traditional Arabic" w:cs="Traditional Arabic" w:hint="cs"/>
                <w:sz w:val="28"/>
                <w:szCs w:val="28"/>
                <w:rtl/>
                <w:lang w:bidi="ar-DZ"/>
              </w:rPr>
              <w:lastRenderedPageBreak/>
              <w:t>إجمالي الاصول</w:t>
            </w:r>
          </w:p>
        </w:tc>
        <w:tc>
          <w:tcPr>
            <w:tcW w:w="2159" w:type="dxa"/>
          </w:tcPr>
          <w:p w:rsidR="00092710" w:rsidRPr="000D1176" w:rsidRDefault="000D1176" w:rsidP="00B72D23">
            <w:pPr>
              <w:bidi/>
              <w:cnfStyle w:val="100000000000"/>
              <w:rPr>
                <w:rFonts w:ascii="Traditional Arabic" w:hAnsi="Traditional Arabic" w:cs="Traditional Arabic"/>
                <w:sz w:val="28"/>
                <w:szCs w:val="28"/>
                <w:rtl/>
                <w:lang w:bidi="ar-DZ"/>
              </w:rPr>
            </w:pPr>
            <w:r w:rsidRPr="000D1176">
              <w:rPr>
                <w:rFonts w:ascii="Traditional Arabic" w:hAnsi="Traditional Arabic" w:cs="Traditional Arabic" w:hint="cs"/>
                <w:sz w:val="28"/>
                <w:szCs w:val="28"/>
                <w:rtl/>
                <w:lang w:bidi="ar-DZ"/>
              </w:rPr>
              <w:t xml:space="preserve">نسبة إجمالي الأصول السائلة إلى إجمالي </w:t>
            </w:r>
            <w:r w:rsidRPr="000D1176">
              <w:rPr>
                <w:rFonts w:ascii="Traditional Arabic" w:hAnsi="Traditional Arabic" w:cs="Traditional Arabic" w:hint="cs"/>
                <w:sz w:val="28"/>
                <w:szCs w:val="28"/>
                <w:rtl/>
                <w:lang w:bidi="ar-DZ"/>
              </w:rPr>
              <w:lastRenderedPageBreak/>
              <w:t xml:space="preserve">الودائع </w:t>
            </w:r>
            <w:r w:rsidRPr="000D1176">
              <w:rPr>
                <w:rFonts w:ascii="Traditional Arabic" w:hAnsi="Traditional Arabic" w:cs="Traditional Arabic"/>
                <w:sz w:val="28"/>
                <w:szCs w:val="28"/>
                <w:rtl/>
                <w:lang w:bidi="ar-DZ"/>
              </w:rPr>
              <w:t>%</w:t>
            </w:r>
          </w:p>
        </w:tc>
      </w:tr>
      <w:tr w:rsidR="00092710" w:rsidTr="000D1176">
        <w:trPr>
          <w:cnfStyle w:val="000000100000"/>
        </w:trPr>
        <w:tc>
          <w:tcPr>
            <w:cnfStyle w:val="001000000000"/>
            <w:tcW w:w="1524" w:type="dxa"/>
          </w:tcPr>
          <w:p w:rsidR="00092710" w:rsidRPr="000D1176" w:rsidRDefault="000D1176" w:rsidP="00B72D23">
            <w:pPr>
              <w:bidi/>
              <w:rPr>
                <w:rFonts w:ascii="Traditional Arabic" w:hAnsi="Traditional Arabic" w:cs="Traditional Arabic"/>
                <w:sz w:val="28"/>
                <w:szCs w:val="28"/>
                <w:lang w:val="en-ZA" w:bidi="ar-DZ"/>
              </w:rPr>
            </w:pPr>
            <w:r w:rsidRPr="000D1176">
              <w:rPr>
                <w:rFonts w:ascii="Traditional Arabic" w:hAnsi="Traditional Arabic" w:cs="Traditional Arabic"/>
                <w:sz w:val="28"/>
                <w:szCs w:val="28"/>
                <w:lang w:val="en-ZA" w:bidi="ar-DZ"/>
              </w:rPr>
              <w:lastRenderedPageBreak/>
              <w:t>2009</w:t>
            </w:r>
          </w:p>
        </w:tc>
        <w:tc>
          <w:tcPr>
            <w:tcW w:w="4111"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14168828</w:t>
            </w:r>
          </w:p>
        </w:tc>
        <w:tc>
          <w:tcPr>
            <w:tcW w:w="1984"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84304271</w:t>
            </w:r>
          </w:p>
        </w:tc>
        <w:tc>
          <w:tcPr>
            <w:tcW w:w="2159"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16,81</w:t>
            </w:r>
          </w:p>
        </w:tc>
      </w:tr>
      <w:tr w:rsidR="00092710" w:rsidTr="000D1176">
        <w:trPr>
          <w:cnfStyle w:val="00000001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sz w:val="28"/>
                <w:szCs w:val="28"/>
                <w:lang w:bidi="ar-DZ"/>
              </w:rPr>
              <w:t>2010</w:t>
            </w:r>
          </w:p>
        </w:tc>
        <w:tc>
          <w:tcPr>
            <w:tcW w:w="4111"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13603756</w:t>
            </w:r>
          </w:p>
        </w:tc>
        <w:tc>
          <w:tcPr>
            <w:tcW w:w="1984"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90137771</w:t>
            </w:r>
          </w:p>
        </w:tc>
        <w:tc>
          <w:tcPr>
            <w:tcW w:w="2159"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15,09</w:t>
            </w:r>
          </w:p>
        </w:tc>
      </w:tr>
      <w:tr w:rsidR="00092710" w:rsidTr="000D1176">
        <w:trPr>
          <w:cnfStyle w:val="00000010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sz w:val="28"/>
                <w:szCs w:val="28"/>
                <w:lang w:bidi="ar-DZ"/>
              </w:rPr>
              <w:t>2011</w:t>
            </w:r>
          </w:p>
        </w:tc>
        <w:tc>
          <w:tcPr>
            <w:tcW w:w="4111"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15995415</w:t>
            </w:r>
          </w:p>
        </w:tc>
        <w:tc>
          <w:tcPr>
            <w:tcW w:w="1984"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90588464</w:t>
            </w:r>
          </w:p>
        </w:tc>
        <w:tc>
          <w:tcPr>
            <w:tcW w:w="2159"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17,66</w:t>
            </w:r>
          </w:p>
        </w:tc>
      </w:tr>
      <w:tr w:rsidR="00092710" w:rsidTr="000D1176">
        <w:trPr>
          <w:cnfStyle w:val="00000001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sz w:val="28"/>
                <w:szCs w:val="28"/>
                <w:lang w:bidi="ar-DZ"/>
              </w:rPr>
              <w:t>2012</w:t>
            </w:r>
          </w:p>
        </w:tc>
        <w:tc>
          <w:tcPr>
            <w:tcW w:w="4111"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18642663</w:t>
            </w:r>
          </w:p>
        </w:tc>
        <w:tc>
          <w:tcPr>
            <w:tcW w:w="1984"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95366499</w:t>
            </w:r>
          </w:p>
        </w:tc>
        <w:tc>
          <w:tcPr>
            <w:tcW w:w="2159"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19,55</w:t>
            </w:r>
          </w:p>
        </w:tc>
      </w:tr>
      <w:tr w:rsidR="00092710" w:rsidTr="000D1176">
        <w:trPr>
          <w:cnfStyle w:val="00000010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sz w:val="28"/>
                <w:szCs w:val="28"/>
                <w:lang w:bidi="ar-DZ"/>
              </w:rPr>
              <w:t>2013</w:t>
            </w:r>
          </w:p>
        </w:tc>
        <w:tc>
          <w:tcPr>
            <w:tcW w:w="4111"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32318332</w:t>
            </w:r>
          </w:p>
        </w:tc>
        <w:tc>
          <w:tcPr>
            <w:tcW w:w="1984"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113288438</w:t>
            </w:r>
          </w:p>
        </w:tc>
        <w:tc>
          <w:tcPr>
            <w:tcW w:w="2159" w:type="dxa"/>
          </w:tcPr>
          <w:p w:rsidR="00092710" w:rsidRDefault="000D1176" w:rsidP="00B72D23">
            <w:pPr>
              <w:bidi/>
              <w:cnfStyle w:val="00000010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28,53</w:t>
            </w:r>
          </w:p>
        </w:tc>
      </w:tr>
      <w:tr w:rsidR="00092710" w:rsidTr="000D1176">
        <w:trPr>
          <w:cnfStyle w:val="000000010000"/>
        </w:trPr>
        <w:tc>
          <w:tcPr>
            <w:cnfStyle w:val="001000000000"/>
            <w:tcW w:w="1524" w:type="dxa"/>
          </w:tcPr>
          <w:p w:rsidR="00092710" w:rsidRPr="000D1176" w:rsidRDefault="000D1176" w:rsidP="00B72D23">
            <w:pPr>
              <w:bidi/>
              <w:rPr>
                <w:rFonts w:ascii="Traditional Arabic" w:hAnsi="Traditional Arabic" w:cs="Traditional Arabic"/>
                <w:sz w:val="28"/>
                <w:szCs w:val="28"/>
                <w:rtl/>
                <w:lang w:bidi="ar-DZ"/>
              </w:rPr>
            </w:pPr>
            <w:r w:rsidRPr="000D1176">
              <w:rPr>
                <w:rFonts w:ascii="Traditional Arabic" w:hAnsi="Traditional Arabic" w:cs="Traditional Arabic" w:hint="cs"/>
                <w:sz w:val="28"/>
                <w:szCs w:val="28"/>
                <w:rtl/>
                <w:lang w:bidi="ar-DZ"/>
              </w:rPr>
              <w:t>المتوسط</w:t>
            </w:r>
          </w:p>
        </w:tc>
        <w:tc>
          <w:tcPr>
            <w:tcW w:w="4111" w:type="dxa"/>
          </w:tcPr>
          <w:p w:rsidR="00092710" w:rsidRDefault="00092710" w:rsidP="00B72D23">
            <w:pPr>
              <w:bidi/>
              <w:cnfStyle w:val="000000010000"/>
              <w:rPr>
                <w:rFonts w:ascii="Traditional Arabic" w:hAnsi="Traditional Arabic" w:cs="Traditional Arabic"/>
                <w:b/>
                <w:bCs/>
                <w:sz w:val="28"/>
                <w:szCs w:val="28"/>
                <w:rtl/>
                <w:lang w:bidi="ar-DZ"/>
              </w:rPr>
            </w:pPr>
          </w:p>
        </w:tc>
        <w:tc>
          <w:tcPr>
            <w:tcW w:w="1984" w:type="dxa"/>
          </w:tcPr>
          <w:p w:rsidR="00092710" w:rsidRDefault="00092710" w:rsidP="00B72D23">
            <w:pPr>
              <w:bidi/>
              <w:cnfStyle w:val="000000010000"/>
              <w:rPr>
                <w:rFonts w:ascii="Traditional Arabic" w:hAnsi="Traditional Arabic" w:cs="Traditional Arabic"/>
                <w:b/>
                <w:bCs/>
                <w:sz w:val="28"/>
                <w:szCs w:val="28"/>
                <w:rtl/>
                <w:lang w:bidi="ar-DZ"/>
              </w:rPr>
            </w:pPr>
          </w:p>
        </w:tc>
        <w:tc>
          <w:tcPr>
            <w:tcW w:w="2159" w:type="dxa"/>
          </w:tcPr>
          <w:p w:rsidR="00092710" w:rsidRDefault="000D1176" w:rsidP="00B72D23">
            <w:pPr>
              <w:bidi/>
              <w:cnfStyle w:val="000000010000"/>
              <w:rPr>
                <w:rFonts w:ascii="Traditional Arabic" w:hAnsi="Traditional Arabic" w:cs="Traditional Arabic"/>
                <w:b/>
                <w:bCs/>
                <w:sz w:val="28"/>
                <w:szCs w:val="28"/>
                <w:rtl/>
                <w:lang w:bidi="ar-DZ"/>
              </w:rPr>
            </w:pPr>
            <w:r>
              <w:rPr>
                <w:rFonts w:ascii="Traditional Arabic" w:hAnsi="Traditional Arabic" w:cs="Traditional Arabic"/>
                <w:b/>
                <w:bCs/>
                <w:sz w:val="28"/>
                <w:szCs w:val="28"/>
                <w:lang w:bidi="ar-DZ"/>
              </w:rPr>
              <w:t>19,53</w:t>
            </w:r>
          </w:p>
        </w:tc>
      </w:tr>
    </w:tbl>
    <w:p w:rsidR="00092710" w:rsidRPr="001D33C2" w:rsidRDefault="000D1176"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 xml:space="preserve">المصدر: </w:t>
      </w:r>
      <w:r w:rsidRPr="001D33C2">
        <w:rPr>
          <w:rFonts w:ascii="Traditional Arabic" w:hAnsi="Traditional Arabic" w:cs="Traditional Arabic" w:hint="cs"/>
          <w:sz w:val="24"/>
          <w:szCs w:val="24"/>
          <w:rtl/>
          <w:lang w:bidi="ar-DZ"/>
        </w:rPr>
        <w:t>من إعداد الباحثان اعتمادا على التقارير المالية لبنك دبي الإسلامي خلال الفترة 2009-2013.</w:t>
      </w:r>
    </w:p>
    <w:p w:rsidR="008E1A3E" w:rsidRDefault="000D1176" w:rsidP="00766938">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تلخيص الجدول السابق في الشكل الموالي:</w:t>
      </w:r>
    </w:p>
    <w:p w:rsidR="000D1176" w:rsidRPr="000D1176" w:rsidRDefault="000D1176" w:rsidP="00B72D23">
      <w:pPr>
        <w:bidi/>
        <w:spacing w:line="240" w:lineRule="auto"/>
        <w:jc w:val="center"/>
        <w:rPr>
          <w:rFonts w:ascii="Traditional Arabic" w:hAnsi="Traditional Arabic" w:cs="Traditional Arabic"/>
          <w:b/>
          <w:bCs/>
          <w:sz w:val="28"/>
          <w:szCs w:val="28"/>
          <w:rtl/>
          <w:lang w:bidi="ar-DZ"/>
        </w:rPr>
      </w:pPr>
      <w:r w:rsidRPr="000D1176">
        <w:rPr>
          <w:rFonts w:ascii="Traditional Arabic" w:hAnsi="Traditional Arabic" w:cs="Traditional Arabic" w:hint="cs"/>
          <w:b/>
          <w:bCs/>
          <w:sz w:val="28"/>
          <w:szCs w:val="28"/>
          <w:rtl/>
          <w:lang w:bidi="ar-DZ"/>
        </w:rPr>
        <w:t>الشكل رقم (06): تطور نسبة الأصول السائلة إلى ارصدة إجمالي الأصول خلال الفترة 2009-2013</w:t>
      </w:r>
    </w:p>
    <w:p w:rsidR="00092710" w:rsidRDefault="000D1176" w:rsidP="00B72D23">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noProof/>
          <w:sz w:val="28"/>
          <w:szCs w:val="28"/>
          <w:rtl/>
          <w:lang w:val="en-US"/>
        </w:rPr>
        <w:drawing>
          <wp:inline distT="0" distB="0" distL="0" distR="0">
            <wp:extent cx="5486400" cy="3200400"/>
            <wp:effectExtent l="19050" t="0" r="1905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2710" w:rsidRPr="001D33C2" w:rsidRDefault="000D1176" w:rsidP="00B72D23">
      <w:pPr>
        <w:bidi/>
        <w:spacing w:line="240" w:lineRule="auto"/>
        <w:rPr>
          <w:rFonts w:ascii="Traditional Arabic" w:hAnsi="Traditional Arabic" w:cs="Traditional Arabic"/>
          <w:sz w:val="24"/>
          <w:szCs w:val="24"/>
          <w:rtl/>
          <w:lang w:bidi="ar-DZ"/>
        </w:rPr>
      </w:pPr>
      <w:r w:rsidRPr="001D33C2">
        <w:rPr>
          <w:rFonts w:ascii="Traditional Arabic" w:hAnsi="Traditional Arabic" w:cs="Traditional Arabic" w:hint="cs"/>
          <w:b/>
          <w:bCs/>
          <w:sz w:val="24"/>
          <w:szCs w:val="24"/>
          <w:rtl/>
          <w:lang w:bidi="ar-DZ"/>
        </w:rPr>
        <w:t xml:space="preserve">المصدر: </w:t>
      </w:r>
      <w:r w:rsidRPr="001D33C2">
        <w:rPr>
          <w:rFonts w:ascii="Traditional Arabic" w:hAnsi="Traditional Arabic" w:cs="Traditional Arabic" w:hint="cs"/>
          <w:sz w:val="24"/>
          <w:szCs w:val="24"/>
          <w:rtl/>
          <w:lang w:bidi="ar-DZ"/>
        </w:rPr>
        <w:t>من إعداد الباحثان اعتمادا على التقارير المالية لبنك دبي الإسلامي خلال الفترة 2009-2013.</w:t>
      </w:r>
    </w:p>
    <w:p w:rsidR="000D1176" w:rsidRDefault="00E2346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يلاحظ من نتائج الجدول السابق:</w:t>
      </w:r>
    </w:p>
    <w:p w:rsidR="00E23466" w:rsidRDefault="00E2346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نسبة الأصول السائلة إلى أرصدة إجمالي الأصول في بنك دبي الإسلامي متغيرة ومتفاوتة من سنة إلى أخرى، فنلاحظ أنها متقاربة في السنوات 2009-2010-2011 وقدرت على التوالي ب: 16,81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15,09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17,66</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وما يلاحظ هنا أنها انخفضت قليلا سنة 2010 ثم ارتفعت سنة 2011 وبقيت في تزايد وصولا إلى أقصى قيمة لها سنة 2013 بنسبة 28,53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وهذه النسبة تعتبر قيمة شاذة ومظللة وسبب هذا الارتفاع يرجع إلى استعادة البنك لعافيته من ازمة دبي 2009 هذا من جهة ومن جهة أخرى تخوف البنك من الوقوع في أزمة سيولة جديدة مستقبلا مما أدى به إلى اخذ الاحتياطات اللازمة وهذا من خلال رفع نسبة الأصول السائلة لديه.</w:t>
      </w:r>
    </w:p>
    <w:p w:rsidR="00E23466" w:rsidRDefault="00E23466"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وقد بلغ متوسط النسب 19,53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إلا انه يعد مضللا لاحتوائه القيم الشاذة وباستبعاد هذه الأخيرة يصبح المتوسط 17,28</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ومنه فان المجال نسبة الأصول السائلة إلى إجمالي الأصول يكون محصور بين 17,28</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19,53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وهي نسبة مقبولة تعتمد كمعيار لقياس النسبة المثلى.</w:t>
      </w:r>
    </w:p>
    <w:p w:rsidR="00E23466" w:rsidRDefault="00D80554" w:rsidP="00B72D23">
      <w:pPr>
        <w:bidi/>
        <w:spacing w:line="240" w:lineRule="auto"/>
        <w:rPr>
          <w:rFonts w:ascii="Traditional Arabic" w:hAnsi="Traditional Arabic" w:cs="Traditional Arabic"/>
          <w:b/>
          <w:bCs/>
          <w:sz w:val="28"/>
          <w:szCs w:val="28"/>
          <w:rtl/>
          <w:lang w:bidi="ar-DZ"/>
        </w:rPr>
      </w:pPr>
      <w:r w:rsidRPr="00D80554">
        <w:rPr>
          <w:rFonts w:ascii="Traditional Arabic" w:hAnsi="Traditional Arabic" w:cs="Traditional Arabic" w:hint="cs"/>
          <w:b/>
          <w:bCs/>
          <w:sz w:val="28"/>
          <w:szCs w:val="28"/>
          <w:rtl/>
          <w:lang w:bidi="ar-DZ"/>
        </w:rPr>
        <w:t>4- نسبة الأصول السائلة إلى أرصدة التمويل والاستثمار ونسبة الأصول السائلة إلى إجمالي الالتزامات في بنك دبي الإسلامي</w:t>
      </w:r>
      <w:r>
        <w:rPr>
          <w:rFonts w:ascii="Traditional Arabic" w:hAnsi="Traditional Arabic" w:cs="Traditional Arabic" w:hint="cs"/>
          <w:b/>
          <w:bCs/>
          <w:sz w:val="28"/>
          <w:szCs w:val="28"/>
          <w:rtl/>
          <w:lang w:bidi="ar-DZ"/>
        </w:rPr>
        <w:t>:</w:t>
      </w:r>
    </w:p>
    <w:p w:rsidR="00D80554" w:rsidRDefault="00D80554" w:rsidP="00B72D23">
      <w:pPr>
        <w:bidi/>
        <w:spacing w:line="240" w:lineRule="auto"/>
        <w:rPr>
          <w:rFonts w:ascii="Traditional Arabic" w:hAnsi="Traditional Arabic" w:cs="Traditional Arabic"/>
          <w:sz w:val="28"/>
          <w:szCs w:val="28"/>
          <w:rtl/>
          <w:lang w:bidi="ar-DZ"/>
        </w:rPr>
      </w:pPr>
      <w:r w:rsidRPr="00D80554">
        <w:rPr>
          <w:rFonts w:ascii="Traditional Arabic" w:hAnsi="Traditional Arabic" w:cs="Traditional Arabic" w:hint="cs"/>
          <w:b/>
          <w:bCs/>
          <w:sz w:val="28"/>
          <w:szCs w:val="28"/>
          <w:rtl/>
          <w:lang w:bidi="ar-DZ"/>
        </w:rPr>
        <w:t xml:space="preserve">أ- نسبة الأصول السائلة إلى </w:t>
      </w:r>
      <w:r w:rsidR="00412080" w:rsidRPr="00D80554">
        <w:rPr>
          <w:rFonts w:ascii="Traditional Arabic" w:hAnsi="Traditional Arabic" w:cs="Traditional Arabic" w:hint="cs"/>
          <w:b/>
          <w:bCs/>
          <w:sz w:val="28"/>
          <w:szCs w:val="28"/>
          <w:rtl/>
          <w:lang w:bidi="ar-DZ"/>
        </w:rPr>
        <w:t>أرصدة</w:t>
      </w:r>
      <w:r w:rsidRPr="00D80554">
        <w:rPr>
          <w:rFonts w:ascii="Traditional Arabic" w:hAnsi="Traditional Arabic" w:cs="Traditional Arabic" w:hint="cs"/>
          <w:b/>
          <w:bCs/>
          <w:sz w:val="28"/>
          <w:szCs w:val="28"/>
          <w:rtl/>
          <w:lang w:bidi="ar-DZ"/>
        </w:rPr>
        <w:t xml:space="preserve"> التمويل والاستثمار</w:t>
      </w:r>
      <w:r>
        <w:rPr>
          <w:rFonts w:ascii="Traditional Arabic" w:hAnsi="Traditional Arabic" w:cs="Traditional Arabic" w:hint="cs"/>
          <w:sz w:val="28"/>
          <w:szCs w:val="28"/>
          <w:rtl/>
          <w:lang w:bidi="ar-DZ"/>
        </w:rPr>
        <w:t xml:space="preserve">: </w:t>
      </w:r>
      <w:r w:rsidR="00412080">
        <w:rPr>
          <w:rFonts w:ascii="Traditional Arabic" w:hAnsi="Traditional Arabic" w:cs="Traditional Arabic" w:hint="cs"/>
          <w:sz w:val="28"/>
          <w:szCs w:val="28"/>
          <w:rtl/>
          <w:lang w:bidi="ar-DZ"/>
        </w:rPr>
        <w:t>بنك دبي الإسلامي يقوم بتوظيف أمواله واستثمارها بالطرق الشرعية تحت مصطلح صيغ التمويل الإسلامية والمتمثلة أساسا في: المرابحة، المضاربة، الاجارة، الاستصناع، السلم، المشاركة، الوكالة، والاستثمارات الأخرى الخاصة بالبنك.</w:t>
      </w:r>
    </w:p>
    <w:p w:rsidR="00412080" w:rsidRPr="00412080" w:rsidRDefault="00412080" w:rsidP="00B72D23">
      <w:pPr>
        <w:bidi/>
        <w:spacing w:line="240" w:lineRule="auto"/>
        <w:rPr>
          <w:rFonts w:ascii="Traditional Arabic" w:hAnsi="Traditional Arabic" w:cs="Traditional Arabic"/>
          <w:sz w:val="28"/>
          <w:szCs w:val="28"/>
          <w:rtl/>
          <w:lang w:bidi="ar-DZ"/>
        </w:rPr>
      </w:pPr>
      <w:r w:rsidRPr="00412080">
        <w:rPr>
          <w:rFonts w:ascii="Traditional Arabic" w:hAnsi="Traditional Arabic" w:cs="Traditional Arabic" w:hint="cs"/>
          <w:sz w:val="28"/>
          <w:szCs w:val="28"/>
          <w:rtl/>
          <w:lang w:bidi="ar-DZ"/>
        </w:rPr>
        <w:t>ويمكن قياس نسبة الأصول السائلة إلى ارصدة التمويل والاستثمار كالتالي:</w:t>
      </w:r>
    </w:p>
    <w:p w:rsidR="00412080" w:rsidRPr="00412080" w:rsidRDefault="00412080"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412080">
        <w:rPr>
          <w:rFonts w:ascii="Traditional Arabic" w:hAnsi="Traditional Arabic" w:cs="Traditional Arabic" w:hint="cs"/>
          <w:b/>
          <w:bCs/>
          <w:sz w:val="28"/>
          <w:szCs w:val="28"/>
          <w:rtl/>
          <w:lang w:bidi="ar-DZ"/>
        </w:rPr>
        <w:t>نسبة الأصول السائلة إلى ارصدة التمويل والاستثمار= الأصول السائلة/إجمالي ارصدة التمويل والاستثمار</w:t>
      </w:r>
    </w:p>
    <w:p w:rsidR="00D80554" w:rsidRDefault="00412080"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وفيما يلي توضيح لتطور هذه النسبة خلال الفترة 2009-2013.</w:t>
      </w:r>
    </w:p>
    <w:p w:rsidR="002730C6" w:rsidRDefault="00412080" w:rsidP="00B72D23">
      <w:pPr>
        <w:bidi/>
        <w:spacing w:line="240" w:lineRule="auto"/>
        <w:jc w:val="center"/>
        <w:rPr>
          <w:rFonts w:ascii="Traditional Arabic" w:hAnsi="Traditional Arabic" w:cs="Traditional Arabic"/>
          <w:b/>
          <w:bCs/>
          <w:sz w:val="28"/>
          <w:szCs w:val="28"/>
          <w:lang w:bidi="ar-DZ"/>
        </w:rPr>
      </w:pPr>
      <w:r w:rsidRPr="00412080">
        <w:rPr>
          <w:rFonts w:ascii="Traditional Arabic" w:hAnsi="Traditional Arabic" w:cs="Traditional Arabic" w:hint="cs"/>
          <w:b/>
          <w:bCs/>
          <w:sz w:val="28"/>
          <w:szCs w:val="28"/>
          <w:rtl/>
          <w:lang w:bidi="ar-DZ"/>
        </w:rPr>
        <w:t xml:space="preserve">الجدول رقم (07): تطور نسبة الأصول السائلة إلى </w:t>
      </w:r>
      <w:r w:rsidR="00017BD3" w:rsidRPr="00412080">
        <w:rPr>
          <w:rFonts w:ascii="Traditional Arabic" w:hAnsi="Traditional Arabic" w:cs="Traditional Arabic" w:hint="cs"/>
          <w:b/>
          <w:bCs/>
          <w:sz w:val="28"/>
          <w:szCs w:val="28"/>
          <w:rtl/>
          <w:lang w:bidi="ar-DZ"/>
        </w:rPr>
        <w:t>أرصدة</w:t>
      </w:r>
      <w:r w:rsidRPr="00412080">
        <w:rPr>
          <w:rFonts w:ascii="Traditional Arabic" w:hAnsi="Traditional Arabic" w:cs="Traditional Arabic" w:hint="cs"/>
          <w:b/>
          <w:bCs/>
          <w:sz w:val="28"/>
          <w:szCs w:val="28"/>
          <w:rtl/>
          <w:lang w:bidi="ar-DZ"/>
        </w:rPr>
        <w:t xml:space="preserve"> التمويل والاستثمار خلال الفترة 2009-2013.</w:t>
      </w:r>
    </w:p>
    <w:tbl>
      <w:tblPr>
        <w:tblStyle w:val="Grilleclaire-Accent11"/>
        <w:tblpPr w:leftFromText="141" w:rightFromText="141" w:vertAnchor="text" w:horzAnchor="margin" w:tblpXSpec="center" w:tblpY="857"/>
        <w:bidiVisual/>
        <w:tblW w:w="10915" w:type="dxa"/>
        <w:tblLook w:val="04A0"/>
      </w:tblPr>
      <w:tblGrid>
        <w:gridCol w:w="962"/>
        <w:gridCol w:w="936"/>
        <w:gridCol w:w="936"/>
        <w:gridCol w:w="846"/>
        <w:gridCol w:w="936"/>
        <w:gridCol w:w="936"/>
        <w:gridCol w:w="846"/>
        <w:gridCol w:w="936"/>
        <w:gridCol w:w="846"/>
        <w:gridCol w:w="859"/>
        <w:gridCol w:w="942"/>
        <w:gridCol w:w="934"/>
      </w:tblGrid>
      <w:tr w:rsidR="00FD12D0" w:rsidRPr="009A71FA" w:rsidTr="002730C6">
        <w:trPr>
          <w:cnfStyle w:val="100000000000"/>
        </w:trPr>
        <w:tc>
          <w:tcPr>
            <w:cnfStyle w:val="001000000000"/>
            <w:tcW w:w="1184" w:type="dxa"/>
          </w:tcPr>
          <w:p w:rsidR="002730C6" w:rsidRPr="009A71FA" w:rsidRDefault="002730C6" w:rsidP="00B72D23">
            <w:pPr>
              <w:bidi/>
              <w:jc w:val="center"/>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السنوات/البيان</w:t>
            </w:r>
          </w:p>
        </w:tc>
        <w:tc>
          <w:tcPr>
            <w:tcW w:w="800"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مجموع الأصول السائلة</w:t>
            </w:r>
          </w:p>
        </w:tc>
        <w:tc>
          <w:tcPr>
            <w:tcW w:w="851"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المرابحة</w:t>
            </w:r>
          </w:p>
        </w:tc>
        <w:tc>
          <w:tcPr>
            <w:tcW w:w="850"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المضاربة</w:t>
            </w:r>
          </w:p>
        </w:tc>
        <w:tc>
          <w:tcPr>
            <w:tcW w:w="794"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الإجارة</w:t>
            </w:r>
          </w:p>
        </w:tc>
        <w:tc>
          <w:tcPr>
            <w:tcW w:w="884"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الاستصناع</w:t>
            </w:r>
          </w:p>
        </w:tc>
        <w:tc>
          <w:tcPr>
            <w:tcW w:w="595"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السلم</w:t>
            </w:r>
          </w:p>
        </w:tc>
        <w:tc>
          <w:tcPr>
            <w:tcW w:w="780"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المشاركة</w:t>
            </w:r>
          </w:p>
        </w:tc>
        <w:tc>
          <w:tcPr>
            <w:tcW w:w="610"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الوكالة</w:t>
            </w:r>
          </w:p>
        </w:tc>
        <w:tc>
          <w:tcPr>
            <w:tcW w:w="1004"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الاستثمارات أخرى</w:t>
            </w:r>
          </w:p>
        </w:tc>
        <w:tc>
          <w:tcPr>
            <w:tcW w:w="1004"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مجموع الاستثمارات</w:t>
            </w:r>
          </w:p>
        </w:tc>
        <w:tc>
          <w:tcPr>
            <w:tcW w:w="1559" w:type="dxa"/>
          </w:tcPr>
          <w:p w:rsidR="002730C6" w:rsidRPr="009A71FA" w:rsidRDefault="002730C6" w:rsidP="00B72D23">
            <w:pPr>
              <w:bidi/>
              <w:jc w:val="center"/>
              <w:cnfStyle w:val="100000000000"/>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نسبة الأصول السائلة إلى إجمالي أرصدة التمويل والاستثمار</w:t>
            </w:r>
            <w:r w:rsidRPr="009A71FA">
              <w:rPr>
                <w:rFonts w:ascii="Traditional Arabic" w:hAnsi="Traditional Arabic" w:cs="Traditional Arabic"/>
                <w:sz w:val="18"/>
                <w:szCs w:val="18"/>
                <w:rtl/>
                <w:lang w:bidi="ar-DZ"/>
              </w:rPr>
              <w:t>%</w:t>
            </w:r>
          </w:p>
        </w:tc>
      </w:tr>
      <w:tr w:rsidR="00FD12D0" w:rsidRPr="009A71FA" w:rsidTr="002730C6">
        <w:trPr>
          <w:cnfStyle w:val="000000100000"/>
        </w:trPr>
        <w:tc>
          <w:tcPr>
            <w:cnfStyle w:val="001000000000"/>
            <w:tcW w:w="1184" w:type="dxa"/>
          </w:tcPr>
          <w:p w:rsidR="002730C6" w:rsidRPr="009A71FA" w:rsidRDefault="00017BD3" w:rsidP="00B72D23">
            <w:pPr>
              <w:bidi/>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2009</w:t>
            </w:r>
          </w:p>
        </w:tc>
        <w:tc>
          <w:tcPr>
            <w:tcW w:w="80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14168828</w:t>
            </w:r>
          </w:p>
        </w:tc>
        <w:tc>
          <w:tcPr>
            <w:tcW w:w="851"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20170566</w:t>
            </w:r>
          </w:p>
        </w:tc>
        <w:tc>
          <w:tcPr>
            <w:tcW w:w="85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5456053</w:t>
            </w:r>
          </w:p>
        </w:tc>
        <w:tc>
          <w:tcPr>
            <w:tcW w:w="794"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11583847</w:t>
            </w:r>
          </w:p>
        </w:tc>
        <w:tc>
          <w:tcPr>
            <w:tcW w:w="88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8362108</w:t>
            </w:r>
          </w:p>
        </w:tc>
        <w:tc>
          <w:tcPr>
            <w:tcW w:w="595"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w:t>
            </w:r>
          </w:p>
        </w:tc>
        <w:tc>
          <w:tcPr>
            <w:tcW w:w="78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10524280</w:t>
            </w:r>
          </w:p>
        </w:tc>
        <w:tc>
          <w:tcPr>
            <w:tcW w:w="61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946791</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8217406</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65261051</w:t>
            </w:r>
          </w:p>
        </w:tc>
        <w:tc>
          <w:tcPr>
            <w:tcW w:w="1559"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21,71</w:t>
            </w:r>
          </w:p>
        </w:tc>
      </w:tr>
      <w:tr w:rsidR="00FD12D0" w:rsidRPr="009A71FA" w:rsidTr="002730C6">
        <w:trPr>
          <w:cnfStyle w:val="000000010000"/>
        </w:trPr>
        <w:tc>
          <w:tcPr>
            <w:cnfStyle w:val="001000000000"/>
            <w:tcW w:w="1184" w:type="dxa"/>
          </w:tcPr>
          <w:p w:rsidR="002730C6" w:rsidRPr="009A71FA" w:rsidRDefault="00017BD3" w:rsidP="00B72D23">
            <w:pPr>
              <w:bidi/>
              <w:rPr>
                <w:rFonts w:ascii="Traditional Arabic" w:hAnsi="Traditional Arabic" w:cs="Traditional Arabic"/>
                <w:sz w:val="18"/>
                <w:szCs w:val="18"/>
                <w:lang w:val="en-ZA" w:bidi="ar-DZ"/>
              </w:rPr>
            </w:pPr>
            <w:r w:rsidRPr="009A71FA">
              <w:rPr>
                <w:rFonts w:ascii="Traditional Arabic" w:hAnsi="Traditional Arabic" w:cs="Traditional Arabic"/>
                <w:sz w:val="18"/>
                <w:szCs w:val="18"/>
                <w:lang w:val="en-ZA" w:bidi="ar-DZ"/>
              </w:rPr>
              <w:t>2010</w:t>
            </w:r>
          </w:p>
        </w:tc>
        <w:tc>
          <w:tcPr>
            <w:tcW w:w="800"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13603756</w:t>
            </w:r>
          </w:p>
        </w:tc>
        <w:tc>
          <w:tcPr>
            <w:tcW w:w="851"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18890488</w:t>
            </w:r>
          </w:p>
        </w:tc>
        <w:tc>
          <w:tcPr>
            <w:tcW w:w="850"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3709791</w:t>
            </w:r>
          </w:p>
        </w:tc>
        <w:tc>
          <w:tcPr>
            <w:tcW w:w="794"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22257505</w:t>
            </w:r>
          </w:p>
        </w:tc>
        <w:tc>
          <w:tcPr>
            <w:tcW w:w="88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7289783</w:t>
            </w:r>
          </w:p>
        </w:tc>
        <w:tc>
          <w:tcPr>
            <w:tcW w:w="595"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1399132</w:t>
            </w:r>
          </w:p>
        </w:tc>
        <w:tc>
          <w:tcPr>
            <w:tcW w:w="780"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9717533</w:t>
            </w:r>
          </w:p>
        </w:tc>
        <w:tc>
          <w:tcPr>
            <w:tcW w:w="610"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790207</w:t>
            </w:r>
          </w:p>
        </w:tc>
        <w:tc>
          <w:tcPr>
            <w:tcW w:w="100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7126131</w:t>
            </w:r>
          </w:p>
        </w:tc>
        <w:tc>
          <w:tcPr>
            <w:tcW w:w="100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71180570</w:t>
            </w:r>
          </w:p>
        </w:tc>
        <w:tc>
          <w:tcPr>
            <w:tcW w:w="1559"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19.11</w:t>
            </w:r>
          </w:p>
        </w:tc>
      </w:tr>
      <w:tr w:rsidR="00FD12D0" w:rsidRPr="009A71FA" w:rsidTr="002730C6">
        <w:trPr>
          <w:cnfStyle w:val="000000100000"/>
        </w:trPr>
        <w:tc>
          <w:tcPr>
            <w:cnfStyle w:val="001000000000"/>
            <w:tcW w:w="1184" w:type="dxa"/>
          </w:tcPr>
          <w:p w:rsidR="002730C6" w:rsidRPr="009A71FA" w:rsidRDefault="00017BD3" w:rsidP="00B72D23">
            <w:pPr>
              <w:bidi/>
              <w:rPr>
                <w:rFonts w:ascii="Traditional Arabic" w:hAnsi="Traditional Arabic" w:cs="Traditional Arabic"/>
                <w:sz w:val="18"/>
                <w:szCs w:val="18"/>
                <w:rtl/>
                <w:lang w:bidi="ar-DZ"/>
              </w:rPr>
            </w:pPr>
            <w:r w:rsidRPr="009A71FA">
              <w:rPr>
                <w:rFonts w:ascii="Traditional Arabic" w:hAnsi="Traditional Arabic" w:cs="Traditional Arabic"/>
                <w:sz w:val="18"/>
                <w:szCs w:val="18"/>
                <w:lang w:bidi="ar-DZ"/>
              </w:rPr>
              <w:t>2011</w:t>
            </w:r>
          </w:p>
        </w:tc>
        <w:tc>
          <w:tcPr>
            <w:tcW w:w="80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15995415</w:t>
            </w:r>
          </w:p>
        </w:tc>
        <w:tc>
          <w:tcPr>
            <w:tcW w:w="851"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16227962</w:t>
            </w:r>
          </w:p>
        </w:tc>
        <w:tc>
          <w:tcPr>
            <w:tcW w:w="85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3592010</w:t>
            </w:r>
          </w:p>
        </w:tc>
        <w:tc>
          <w:tcPr>
            <w:tcW w:w="794"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21296861</w:t>
            </w:r>
          </w:p>
        </w:tc>
        <w:tc>
          <w:tcPr>
            <w:tcW w:w="88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6170597</w:t>
            </w:r>
          </w:p>
        </w:tc>
        <w:tc>
          <w:tcPr>
            <w:tcW w:w="595"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3139219</w:t>
            </w:r>
          </w:p>
        </w:tc>
        <w:tc>
          <w:tcPr>
            <w:tcW w:w="78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6124109</w:t>
            </w:r>
          </w:p>
        </w:tc>
        <w:tc>
          <w:tcPr>
            <w:tcW w:w="61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1745499</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6156033</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64452290</w:t>
            </w:r>
          </w:p>
        </w:tc>
        <w:tc>
          <w:tcPr>
            <w:tcW w:w="1559"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24,82</w:t>
            </w:r>
          </w:p>
        </w:tc>
      </w:tr>
      <w:tr w:rsidR="00FD12D0" w:rsidRPr="009A71FA" w:rsidTr="002730C6">
        <w:trPr>
          <w:cnfStyle w:val="000000010000"/>
        </w:trPr>
        <w:tc>
          <w:tcPr>
            <w:cnfStyle w:val="001000000000"/>
            <w:tcW w:w="1184" w:type="dxa"/>
          </w:tcPr>
          <w:p w:rsidR="002730C6" w:rsidRPr="009A71FA" w:rsidRDefault="00017BD3" w:rsidP="00B72D23">
            <w:pPr>
              <w:bidi/>
              <w:rPr>
                <w:rFonts w:ascii="Traditional Arabic" w:hAnsi="Traditional Arabic" w:cs="Traditional Arabic"/>
                <w:sz w:val="18"/>
                <w:szCs w:val="18"/>
                <w:rtl/>
                <w:lang w:bidi="ar-DZ"/>
              </w:rPr>
            </w:pPr>
            <w:r w:rsidRPr="009A71FA">
              <w:rPr>
                <w:rFonts w:ascii="Traditional Arabic" w:hAnsi="Traditional Arabic" w:cs="Traditional Arabic"/>
                <w:sz w:val="18"/>
                <w:szCs w:val="18"/>
                <w:lang w:bidi="ar-DZ"/>
              </w:rPr>
              <w:t>2012</w:t>
            </w:r>
          </w:p>
        </w:tc>
        <w:tc>
          <w:tcPr>
            <w:tcW w:w="800"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18642663</w:t>
            </w:r>
          </w:p>
        </w:tc>
        <w:tc>
          <w:tcPr>
            <w:tcW w:w="851"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14019380</w:t>
            </w:r>
          </w:p>
        </w:tc>
        <w:tc>
          <w:tcPr>
            <w:tcW w:w="850"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3894714</w:t>
            </w:r>
          </w:p>
        </w:tc>
        <w:tc>
          <w:tcPr>
            <w:tcW w:w="794" w:type="dxa"/>
          </w:tcPr>
          <w:p w:rsidR="002730C6" w:rsidRPr="009A71FA" w:rsidRDefault="00017BD3"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24215385</w:t>
            </w:r>
          </w:p>
        </w:tc>
        <w:tc>
          <w:tcPr>
            <w:tcW w:w="88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44919960</w:t>
            </w:r>
          </w:p>
        </w:tc>
        <w:tc>
          <w:tcPr>
            <w:tcW w:w="595"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4687193</w:t>
            </w:r>
          </w:p>
        </w:tc>
        <w:tc>
          <w:tcPr>
            <w:tcW w:w="780"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6824046</w:t>
            </w:r>
          </w:p>
        </w:tc>
        <w:tc>
          <w:tcPr>
            <w:tcW w:w="610"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3174278</w:t>
            </w:r>
          </w:p>
        </w:tc>
        <w:tc>
          <w:tcPr>
            <w:tcW w:w="100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6370707</w:t>
            </w:r>
          </w:p>
        </w:tc>
        <w:tc>
          <w:tcPr>
            <w:tcW w:w="1004"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67677663</w:t>
            </w:r>
          </w:p>
        </w:tc>
        <w:tc>
          <w:tcPr>
            <w:tcW w:w="1559"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27,55</w:t>
            </w:r>
          </w:p>
        </w:tc>
      </w:tr>
      <w:tr w:rsidR="00FD12D0" w:rsidRPr="009A71FA" w:rsidTr="002730C6">
        <w:trPr>
          <w:cnfStyle w:val="000000100000"/>
        </w:trPr>
        <w:tc>
          <w:tcPr>
            <w:cnfStyle w:val="001000000000"/>
            <w:tcW w:w="1184" w:type="dxa"/>
          </w:tcPr>
          <w:p w:rsidR="002730C6" w:rsidRPr="009A71FA" w:rsidRDefault="00017BD3" w:rsidP="00B72D23">
            <w:pPr>
              <w:bidi/>
              <w:rPr>
                <w:rFonts w:ascii="Traditional Arabic" w:hAnsi="Traditional Arabic" w:cs="Traditional Arabic"/>
                <w:sz w:val="18"/>
                <w:szCs w:val="18"/>
                <w:rtl/>
                <w:lang w:bidi="ar-DZ"/>
              </w:rPr>
            </w:pPr>
            <w:r w:rsidRPr="009A71FA">
              <w:rPr>
                <w:rFonts w:ascii="Traditional Arabic" w:hAnsi="Traditional Arabic" w:cs="Traditional Arabic"/>
                <w:sz w:val="18"/>
                <w:szCs w:val="18"/>
                <w:lang w:bidi="ar-DZ"/>
              </w:rPr>
              <w:t>2013</w:t>
            </w:r>
          </w:p>
        </w:tc>
        <w:tc>
          <w:tcPr>
            <w:tcW w:w="80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32318332</w:t>
            </w:r>
          </w:p>
        </w:tc>
        <w:tc>
          <w:tcPr>
            <w:tcW w:w="851"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14859136</w:t>
            </w:r>
          </w:p>
        </w:tc>
        <w:tc>
          <w:tcPr>
            <w:tcW w:w="850"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4026973</w:t>
            </w:r>
          </w:p>
        </w:tc>
        <w:tc>
          <w:tcPr>
            <w:tcW w:w="794" w:type="dxa"/>
          </w:tcPr>
          <w:p w:rsidR="002730C6" w:rsidRPr="009A71FA" w:rsidRDefault="00017BD3"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24537059</w:t>
            </w:r>
          </w:p>
        </w:tc>
        <w:tc>
          <w:tcPr>
            <w:tcW w:w="88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3482002</w:t>
            </w:r>
          </w:p>
        </w:tc>
        <w:tc>
          <w:tcPr>
            <w:tcW w:w="595"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6235659</w:t>
            </w:r>
          </w:p>
        </w:tc>
        <w:tc>
          <w:tcPr>
            <w:tcW w:w="78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5644561</w:t>
            </w:r>
          </w:p>
        </w:tc>
        <w:tc>
          <w:tcPr>
            <w:tcW w:w="610"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3448132</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6920790</w:t>
            </w:r>
          </w:p>
        </w:tc>
        <w:tc>
          <w:tcPr>
            <w:tcW w:w="1004"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69554312</w:t>
            </w:r>
          </w:p>
        </w:tc>
        <w:tc>
          <w:tcPr>
            <w:tcW w:w="1559" w:type="dxa"/>
          </w:tcPr>
          <w:p w:rsidR="002730C6" w:rsidRPr="009A71FA" w:rsidRDefault="00FD12D0" w:rsidP="00B72D23">
            <w:pPr>
              <w:bidi/>
              <w:cnfStyle w:val="00000010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46,46</w:t>
            </w:r>
          </w:p>
        </w:tc>
      </w:tr>
      <w:tr w:rsidR="00FD12D0" w:rsidRPr="009A71FA" w:rsidTr="002730C6">
        <w:trPr>
          <w:cnfStyle w:val="000000010000"/>
        </w:trPr>
        <w:tc>
          <w:tcPr>
            <w:cnfStyle w:val="001000000000"/>
            <w:tcW w:w="1184" w:type="dxa"/>
          </w:tcPr>
          <w:p w:rsidR="002730C6" w:rsidRPr="009A71FA" w:rsidRDefault="00FD12D0" w:rsidP="00B72D23">
            <w:pPr>
              <w:bidi/>
              <w:rPr>
                <w:rFonts w:ascii="Traditional Arabic" w:hAnsi="Traditional Arabic" w:cs="Traditional Arabic"/>
                <w:sz w:val="18"/>
                <w:szCs w:val="18"/>
                <w:rtl/>
                <w:lang w:bidi="ar-DZ"/>
              </w:rPr>
            </w:pPr>
            <w:r w:rsidRPr="009A71FA">
              <w:rPr>
                <w:rFonts w:ascii="Traditional Arabic" w:hAnsi="Traditional Arabic" w:cs="Traditional Arabic" w:hint="cs"/>
                <w:sz w:val="18"/>
                <w:szCs w:val="18"/>
                <w:rtl/>
                <w:lang w:bidi="ar-DZ"/>
              </w:rPr>
              <w:t>المتوسط</w:t>
            </w:r>
          </w:p>
        </w:tc>
        <w:tc>
          <w:tcPr>
            <w:tcW w:w="800"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851"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850"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794"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884"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595"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780"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610"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1004"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1004" w:type="dxa"/>
          </w:tcPr>
          <w:p w:rsidR="002730C6" w:rsidRPr="009A71FA" w:rsidRDefault="002730C6" w:rsidP="00B72D23">
            <w:pPr>
              <w:bidi/>
              <w:cnfStyle w:val="000000010000"/>
              <w:rPr>
                <w:rFonts w:ascii="Traditional Arabic" w:hAnsi="Traditional Arabic" w:cs="Traditional Arabic"/>
                <w:b/>
                <w:bCs/>
                <w:sz w:val="18"/>
                <w:szCs w:val="18"/>
                <w:rtl/>
                <w:lang w:bidi="ar-DZ"/>
              </w:rPr>
            </w:pPr>
          </w:p>
        </w:tc>
        <w:tc>
          <w:tcPr>
            <w:tcW w:w="1559" w:type="dxa"/>
          </w:tcPr>
          <w:p w:rsidR="002730C6" w:rsidRPr="009A71FA" w:rsidRDefault="00FD12D0" w:rsidP="00B72D23">
            <w:pPr>
              <w:bidi/>
              <w:cnfStyle w:val="000000010000"/>
              <w:rPr>
                <w:rFonts w:ascii="Traditional Arabic" w:hAnsi="Traditional Arabic" w:cs="Traditional Arabic"/>
                <w:b/>
                <w:bCs/>
                <w:sz w:val="18"/>
                <w:szCs w:val="18"/>
                <w:rtl/>
                <w:lang w:bidi="ar-DZ"/>
              </w:rPr>
            </w:pPr>
            <w:r w:rsidRPr="009A71FA">
              <w:rPr>
                <w:rFonts w:ascii="Traditional Arabic" w:hAnsi="Traditional Arabic" w:cs="Traditional Arabic"/>
                <w:b/>
                <w:bCs/>
                <w:sz w:val="18"/>
                <w:szCs w:val="18"/>
                <w:lang w:bidi="ar-DZ"/>
              </w:rPr>
              <w:t>27,93</w:t>
            </w:r>
          </w:p>
        </w:tc>
      </w:tr>
    </w:tbl>
    <w:p w:rsidR="00412080" w:rsidRPr="002730C6" w:rsidRDefault="002730C6" w:rsidP="00B72D23">
      <w:pPr>
        <w:bidi/>
        <w:spacing w:line="240" w:lineRule="auto"/>
        <w:jc w:val="right"/>
        <w:rPr>
          <w:rFonts w:ascii="Traditional Arabic" w:hAnsi="Traditional Arabic" w:cs="Traditional Arabic"/>
          <w:b/>
          <w:bCs/>
          <w:sz w:val="28"/>
          <w:szCs w:val="28"/>
          <w:rtl/>
          <w:lang w:bidi="ar-DZ"/>
        </w:rPr>
      </w:pPr>
      <w:r>
        <w:rPr>
          <w:rFonts w:ascii="Traditional Arabic" w:hAnsi="Traditional Arabic" w:cs="Traditional Arabic"/>
          <w:sz w:val="28"/>
          <w:szCs w:val="28"/>
          <w:rtl/>
          <w:lang w:bidi="ar-DZ"/>
        </w:rPr>
        <w:tab/>
      </w:r>
      <w:r>
        <w:rPr>
          <w:rFonts w:ascii="Traditional Arabic" w:hAnsi="Traditional Arabic" w:cs="Traditional Arabic" w:hint="cs"/>
          <w:sz w:val="28"/>
          <w:szCs w:val="28"/>
          <w:rtl/>
          <w:lang w:bidi="ar-DZ"/>
        </w:rPr>
        <w:t xml:space="preserve">الوحدة: </w:t>
      </w:r>
      <w:r w:rsidR="00017BD3">
        <w:rPr>
          <w:rFonts w:ascii="Traditional Arabic" w:hAnsi="Traditional Arabic" w:cs="Traditional Arabic" w:hint="cs"/>
          <w:sz w:val="28"/>
          <w:szCs w:val="28"/>
          <w:rtl/>
          <w:lang w:bidi="ar-DZ"/>
        </w:rPr>
        <w:t>ألف</w:t>
      </w:r>
      <w:r>
        <w:rPr>
          <w:rFonts w:ascii="Traditional Arabic" w:hAnsi="Traditional Arabic" w:cs="Traditional Arabic" w:hint="cs"/>
          <w:sz w:val="28"/>
          <w:szCs w:val="28"/>
          <w:rtl/>
          <w:lang w:bidi="ar-DZ"/>
        </w:rPr>
        <w:t xml:space="preserve"> درهم </w:t>
      </w:r>
      <w:r w:rsidR="00017BD3">
        <w:rPr>
          <w:rFonts w:ascii="Traditional Arabic" w:hAnsi="Traditional Arabic" w:cs="Traditional Arabic" w:hint="cs"/>
          <w:sz w:val="28"/>
          <w:szCs w:val="28"/>
          <w:rtl/>
          <w:lang w:bidi="ar-DZ"/>
        </w:rPr>
        <w:t>إماراتي</w:t>
      </w:r>
    </w:p>
    <w:p w:rsidR="00412080" w:rsidRPr="009A71FA" w:rsidRDefault="009A71FA" w:rsidP="00B72D23">
      <w:pPr>
        <w:bidi/>
        <w:spacing w:line="240" w:lineRule="auto"/>
        <w:rPr>
          <w:rFonts w:ascii="Traditional Arabic" w:hAnsi="Traditional Arabic" w:cs="Traditional Arabic"/>
          <w:sz w:val="24"/>
          <w:szCs w:val="24"/>
          <w:rtl/>
          <w:lang w:bidi="ar-DZ"/>
        </w:rPr>
      </w:pPr>
      <w:r w:rsidRPr="009A71FA">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9A71FA" w:rsidRDefault="009A71F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ويمكن تلخيص الجدول السابق في الشكل التالي:</w:t>
      </w:r>
    </w:p>
    <w:p w:rsidR="00C75A30" w:rsidRDefault="00C75A30" w:rsidP="00B72D23">
      <w:pPr>
        <w:bidi/>
        <w:spacing w:line="240" w:lineRule="auto"/>
        <w:jc w:val="center"/>
        <w:rPr>
          <w:rFonts w:ascii="Traditional Arabic" w:hAnsi="Traditional Arabic" w:cs="Traditional Arabic"/>
          <w:b/>
          <w:bCs/>
          <w:sz w:val="28"/>
          <w:szCs w:val="28"/>
          <w:rtl/>
          <w:lang w:bidi="ar-DZ"/>
        </w:rPr>
      </w:pPr>
    </w:p>
    <w:p w:rsidR="00C75A30" w:rsidRDefault="00C75A30" w:rsidP="00C75A30">
      <w:pPr>
        <w:bidi/>
        <w:spacing w:line="240" w:lineRule="auto"/>
        <w:jc w:val="center"/>
        <w:rPr>
          <w:rFonts w:ascii="Traditional Arabic" w:hAnsi="Traditional Arabic" w:cs="Traditional Arabic"/>
          <w:b/>
          <w:bCs/>
          <w:sz w:val="28"/>
          <w:szCs w:val="28"/>
          <w:rtl/>
          <w:lang w:bidi="ar-DZ"/>
        </w:rPr>
      </w:pPr>
    </w:p>
    <w:p w:rsidR="00C75A30" w:rsidRDefault="00C75A30" w:rsidP="00C75A30">
      <w:pPr>
        <w:bidi/>
        <w:spacing w:line="240" w:lineRule="auto"/>
        <w:jc w:val="center"/>
        <w:rPr>
          <w:rFonts w:ascii="Traditional Arabic" w:hAnsi="Traditional Arabic" w:cs="Traditional Arabic"/>
          <w:b/>
          <w:bCs/>
          <w:sz w:val="28"/>
          <w:szCs w:val="28"/>
          <w:rtl/>
          <w:lang w:bidi="ar-DZ"/>
        </w:rPr>
      </w:pPr>
    </w:p>
    <w:p w:rsidR="009A71FA" w:rsidRPr="009A71FA" w:rsidRDefault="009A71FA" w:rsidP="00C75A30">
      <w:pPr>
        <w:bidi/>
        <w:spacing w:line="240" w:lineRule="auto"/>
        <w:jc w:val="center"/>
        <w:rPr>
          <w:rFonts w:ascii="Traditional Arabic" w:hAnsi="Traditional Arabic" w:cs="Traditional Arabic"/>
          <w:b/>
          <w:bCs/>
          <w:sz w:val="28"/>
          <w:szCs w:val="28"/>
          <w:rtl/>
          <w:lang w:bidi="ar-DZ"/>
        </w:rPr>
      </w:pPr>
      <w:r w:rsidRPr="009A71FA">
        <w:rPr>
          <w:rFonts w:ascii="Traditional Arabic" w:hAnsi="Traditional Arabic" w:cs="Traditional Arabic" w:hint="cs"/>
          <w:b/>
          <w:bCs/>
          <w:sz w:val="28"/>
          <w:szCs w:val="28"/>
          <w:rtl/>
          <w:lang w:bidi="ar-DZ"/>
        </w:rPr>
        <w:lastRenderedPageBreak/>
        <w:t>الشكل رقم (07): تطور نسبة الأصول السائلة إلى أرصدة التمويل والاستثمار خلال الفترة 2009-2013</w:t>
      </w:r>
    </w:p>
    <w:p w:rsidR="00412080" w:rsidRPr="000D1176" w:rsidRDefault="009A71FA" w:rsidP="00B72D23">
      <w:pPr>
        <w:bidi/>
        <w:spacing w:line="240" w:lineRule="auto"/>
        <w:jc w:val="center"/>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val="en-US"/>
        </w:rPr>
        <w:drawing>
          <wp:inline distT="0" distB="0" distL="0" distR="0">
            <wp:extent cx="5486400" cy="3200400"/>
            <wp:effectExtent l="19050" t="0" r="1905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2710" w:rsidRPr="009A71FA" w:rsidRDefault="009A71FA" w:rsidP="00B72D23">
      <w:pPr>
        <w:bidi/>
        <w:spacing w:line="240" w:lineRule="auto"/>
        <w:rPr>
          <w:rFonts w:ascii="Traditional Arabic" w:hAnsi="Traditional Arabic" w:cs="Traditional Arabic"/>
          <w:sz w:val="24"/>
          <w:szCs w:val="24"/>
          <w:rtl/>
          <w:lang w:bidi="ar-DZ"/>
        </w:rPr>
      </w:pPr>
      <w:r w:rsidRPr="009A71FA">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9A71FA" w:rsidRPr="009A71FA" w:rsidRDefault="009A71FA" w:rsidP="007E133C">
      <w:pPr>
        <w:bidi/>
        <w:spacing w:after="0" w:line="240" w:lineRule="auto"/>
        <w:rPr>
          <w:rFonts w:ascii="Traditional Arabic" w:hAnsi="Traditional Arabic" w:cs="Traditional Arabic"/>
          <w:sz w:val="28"/>
          <w:szCs w:val="28"/>
          <w:rtl/>
          <w:lang w:bidi="ar-DZ"/>
        </w:rPr>
      </w:pPr>
      <w:r w:rsidRPr="009A71FA">
        <w:rPr>
          <w:rFonts w:ascii="Traditional Arabic" w:hAnsi="Traditional Arabic" w:cs="Traditional Arabic" w:hint="cs"/>
          <w:sz w:val="28"/>
          <w:szCs w:val="28"/>
          <w:rtl/>
          <w:lang w:bidi="ar-DZ"/>
        </w:rPr>
        <w:t>نلاحظ من الجدول السابق أن:</w:t>
      </w:r>
    </w:p>
    <w:p w:rsidR="00F50025" w:rsidRDefault="009A71FA" w:rsidP="007E133C">
      <w:pPr>
        <w:bidi/>
        <w:spacing w:after="0" w:line="240" w:lineRule="auto"/>
        <w:rPr>
          <w:rFonts w:ascii="Traditional Arabic" w:hAnsi="Traditional Arabic" w:cs="Traditional Arabic"/>
          <w:sz w:val="28"/>
          <w:szCs w:val="28"/>
          <w:rtl/>
          <w:lang w:bidi="ar-DZ"/>
        </w:rPr>
      </w:pPr>
      <w:r w:rsidRPr="009A71FA">
        <w:rPr>
          <w:rFonts w:ascii="Traditional Arabic" w:hAnsi="Traditional Arabic" w:cs="Traditional Arabic" w:hint="cs"/>
          <w:sz w:val="28"/>
          <w:szCs w:val="28"/>
          <w:rtl/>
          <w:lang w:bidi="ar-DZ"/>
        </w:rPr>
        <w:t>- نسبة الأصول السائلة إلى ارصدة التمويل والاستثمار متغيرة حيث كانت سنة 2009</w:t>
      </w: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مقدرة ب: 21,71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ثم انخفضت سنة 2010 إلى نسبة 19,11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لتبقى في الارتفاع المستمر خلال السنوات الموالية وقدرت على التوالي ب: 24,82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27,55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46,46</w:t>
      </w:r>
      <w:r>
        <w:rPr>
          <w:rFonts w:ascii="Traditional Arabic" w:hAnsi="Traditional Arabic" w:cs="Traditional Arabic"/>
          <w:sz w:val="28"/>
          <w:szCs w:val="28"/>
          <w:rtl/>
          <w:lang w:bidi="ar-DZ"/>
        </w:rPr>
        <w:t>%</w:t>
      </w:r>
      <w:r w:rsidR="00F50025">
        <w:rPr>
          <w:rFonts w:ascii="Traditional Arabic" w:hAnsi="Traditional Arabic" w:cs="Traditional Arabic" w:hint="cs"/>
          <w:sz w:val="28"/>
          <w:szCs w:val="28"/>
          <w:rtl/>
          <w:lang w:bidi="ar-DZ"/>
        </w:rPr>
        <w:t xml:space="preserve"> وهذه الأخيرة هي أقصى قيمة لها.</w:t>
      </w:r>
    </w:p>
    <w:p w:rsidR="00F50025" w:rsidRDefault="00F50025" w:rsidP="007E133C">
      <w:pPr>
        <w:bidi/>
        <w:spacing w:after="0" w:line="240" w:lineRule="auto"/>
        <w:rPr>
          <w:rFonts w:ascii="Traditional Arabic" w:hAnsi="Traditional Arabic" w:cs="Traditional Arabic"/>
          <w:sz w:val="28"/>
          <w:szCs w:val="28"/>
          <w:rtl/>
          <w:lang w:bidi="ar-DZ"/>
        </w:rPr>
      </w:pPr>
      <w:r w:rsidRPr="00F50025">
        <w:rPr>
          <w:rFonts w:ascii="Traditional Arabic" w:hAnsi="Traditional Arabic" w:cs="Traditional Arabic" w:hint="cs"/>
          <w:sz w:val="28"/>
          <w:szCs w:val="28"/>
          <w:rtl/>
          <w:lang w:bidi="ar-DZ"/>
        </w:rPr>
        <w:t>- كما بلغ متوسط نسبة الأصول السائلة إلى ارصدة التمويل والاستثمار 27,93</w:t>
      </w:r>
      <w:r w:rsidRPr="00F50025">
        <w:rPr>
          <w:rFonts w:ascii="Traditional Arabic" w:hAnsi="Traditional Arabic" w:cs="Traditional Arabic"/>
          <w:sz w:val="28"/>
          <w:szCs w:val="28"/>
          <w:rtl/>
          <w:lang w:bidi="ar-DZ"/>
        </w:rPr>
        <w:t>%</w:t>
      </w:r>
      <w:r w:rsidR="009A71FA" w:rsidRPr="00F50025">
        <w:rPr>
          <w:rFonts w:ascii="Traditional Arabic" w:hAnsi="Traditional Arabic" w:cs="Traditional Arabic" w:hint="cs"/>
          <w:sz w:val="28"/>
          <w:szCs w:val="28"/>
          <w:rtl/>
          <w:lang w:bidi="ar-DZ"/>
        </w:rPr>
        <w:t xml:space="preserve"> </w:t>
      </w:r>
      <w:r w:rsidRPr="00F50025">
        <w:rPr>
          <w:rFonts w:ascii="Traditional Arabic" w:hAnsi="Traditional Arabic" w:cs="Traditional Arabic" w:hint="cs"/>
          <w:sz w:val="28"/>
          <w:szCs w:val="28"/>
          <w:rtl/>
          <w:lang w:bidi="ar-DZ"/>
        </w:rPr>
        <w:t>لكنه يعتبر مظلل لوجود قيم شاذة وهذه القيمة تتمثل في نسبة 2013 والمقدرة ب: 46,46</w:t>
      </w:r>
      <w:r w:rsidRPr="00F50025">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وسبب زيادة نسبة الأصول السائلة إلى ارصدة التمويل والاستثمار لهذه السنة يكمن في تبني بنك دبي الإسلامي الهندسة المالية الإسلامية </w:t>
      </w:r>
      <w:r w:rsidR="0010516C">
        <w:rPr>
          <w:rFonts w:ascii="Traditional Arabic" w:hAnsi="Traditional Arabic" w:cs="Traditional Arabic" w:hint="cs"/>
          <w:sz w:val="28"/>
          <w:szCs w:val="28"/>
          <w:rtl/>
          <w:lang w:bidi="ar-DZ"/>
        </w:rPr>
        <w:t xml:space="preserve">في خدماته وذلك بابتكار أدوات مالية إسلامية في السنوات الفارطة وتطوير هذه الأخيرة، ما جعلها تحل محل العديد من الصيغ، تتمثل أساسا في الصكوك الإسلامية بمختلف اجالها وانواعها وهذه الصكوك عائدها مضمون للمساهمين، </w:t>
      </w:r>
      <w:r w:rsidR="00237B03">
        <w:rPr>
          <w:rFonts w:ascii="Traditional Arabic" w:hAnsi="Traditional Arabic" w:cs="Traditional Arabic" w:hint="cs"/>
          <w:sz w:val="28"/>
          <w:szCs w:val="28"/>
          <w:rtl/>
          <w:lang w:bidi="ar-DZ"/>
        </w:rPr>
        <w:t>أيضا الانعكاسات الايجابية للازمة المالية العالمية على الجهاز المصرفي الإسلامي عموما والاماراتي الاسلامي خصوصا حيث أصبح هذا الأخير ملاذا للبنوك الأجنبية الربوية لاكتساب الخبرات من خلال فتح نوافذ إسلامية لديها ما أدى إلى فتح مجال التعاون بين هذه البنوك عن طريق زيادة وتشغيل بنك دبي الإسلامي استثماراته في هذه البنوك. ضف إلى ذلك الاستقرار المالي والاقتصادي على مستوى دولة الإمارات العربية المتحدة وبالتالي توسيع بنك دبي الإسلامي الأساليب الاستثمارية الخاصة به وتنويعها.</w:t>
      </w:r>
    </w:p>
    <w:p w:rsidR="00237B03" w:rsidRDefault="00237B03" w:rsidP="007E133C">
      <w:pPr>
        <w:bidi/>
        <w:spacing w:after="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عند استبعاد البيانات الشاذة يصبح المتوسط 23,29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وبالتالي فان مدى نسبة الأصول السائلة إلى ارصدة التمويل والاستثمار لبنك دبي الإسلامي يتراوح ما بين 23,29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27,93</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وهي نسبة مقبولة تعتمد كمعيار لقياس النسبة المثلى.</w:t>
      </w:r>
    </w:p>
    <w:p w:rsidR="00237B03" w:rsidRDefault="00237B03" w:rsidP="007E133C">
      <w:pPr>
        <w:bidi/>
        <w:spacing w:after="0" w:line="240" w:lineRule="auto"/>
        <w:rPr>
          <w:rFonts w:ascii="Traditional Arabic" w:hAnsi="Traditional Arabic" w:cs="Traditional Arabic"/>
          <w:sz w:val="28"/>
          <w:szCs w:val="28"/>
          <w:rtl/>
          <w:lang w:bidi="ar-DZ"/>
        </w:rPr>
      </w:pPr>
      <w:r w:rsidRPr="00237B03">
        <w:rPr>
          <w:rFonts w:ascii="Traditional Arabic" w:hAnsi="Traditional Arabic" w:cs="Traditional Arabic" w:hint="cs"/>
          <w:b/>
          <w:bCs/>
          <w:sz w:val="28"/>
          <w:szCs w:val="28"/>
          <w:rtl/>
          <w:lang w:bidi="ar-DZ"/>
        </w:rPr>
        <w:t>ب- نسبة الأصول السائلة إلى إجمالي الالتزامات</w:t>
      </w:r>
      <w:r>
        <w:rPr>
          <w:rFonts w:ascii="Traditional Arabic" w:hAnsi="Traditional Arabic" w:cs="Traditional Arabic" w:hint="cs"/>
          <w:sz w:val="28"/>
          <w:szCs w:val="28"/>
          <w:rtl/>
          <w:lang w:bidi="ar-DZ"/>
        </w:rPr>
        <w:t>: وتقيس هذه النسبة قدرة البنك على سداد التزاماته المختلفة من قبل الأطراف المتعددة خارج البنك سواء كانت هذه الالتزامات ودائع أو غيرها من الالتزامات.</w:t>
      </w:r>
    </w:p>
    <w:p w:rsidR="00237B03" w:rsidRDefault="00237B03"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وتقاس هذه النسبة كما يلي:</w:t>
      </w:r>
    </w:p>
    <w:p w:rsidR="00237B03" w:rsidRPr="00237B03" w:rsidRDefault="00237B03" w:rsidP="00B72D23">
      <w:pPr>
        <w:pBdr>
          <w:top w:val="single" w:sz="4" w:space="1" w:color="auto"/>
          <w:left w:val="single" w:sz="4" w:space="4" w:color="auto"/>
          <w:bottom w:val="single" w:sz="4" w:space="1" w:color="auto"/>
          <w:right w:val="single" w:sz="4" w:space="4" w:color="auto"/>
        </w:pBdr>
        <w:bidi/>
        <w:spacing w:line="240" w:lineRule="auto"/>
        <w:jc w:val="center"/>
        <w:rPr>
          <w:rFonts w:ascii="Traditional Arabic" w:hAnsi="Traditional Arabic" w:cs="Traditional Arabic"/>
          <w:b/>
          <w:bCs/>
          <w:sz w:val="28"/>
          <w:szCs w:val="28"/>
          <w:rtl/>
          <w:lang w:bidi="ar-DZ"/>
        </w:rPr>
      </w:pPr>
      <w:r w:rsidRPr="00237B03">
        <w:rPr>
          <w:rFonts w:ascii="Traditional Arabic" w:hAnsi="Traditional Arabic" w:cs="Traditional Arabic" w:hint="cs"/>
          <w:b/>
          <w:bCs/>
          <w:sz w:val="28"/>
          <w:szCs w:val="28"/>
          <w:rtl/>
          <w:lang w:bidi="ar-DZ"/>
        </w:rPr>
        <w:lastRenderedPageBreak/>
        <w:t>نسبة الأصول السائلة إلى إجمالي الالتزامات= الأصول السائلة/ إجمالي الالتزامات</w:t>
      </w:r>
    </w:p>
    <w:p w:rsidR="00FF6D2D" w:rsidRPr="00237B03" w:rsidRDefault="00237B03" w:rsidP="00766938">
      <w:pPr>
        <w:bidi/>
        <w:spacing w:line="240" w:lineRule="auto"/>
        <w:rPr>
          <w:rFonts w:ascii="Traditional Arabic" w:hAnsi="Traditional Arabic" w:cs="Traditional Arabic"/>
          <w:sz w:val="28"/>
          <w:szCs w:val="28"/>
          <w:rtl/>
          <w:lang w:bidi="ar-DZ"/>
        </w:rPr>
      </w:pPr>
      <w:r w:rsidRPr="00237B03">
        <w:rPr>
          <w:rFonts w:ascii="Traditional Arabic" w:hAnsi="Traditional Arabic" w:cs="Traditional Arabic" w:hint="cs"/>
          <w:sz w:val="28"/>
          <w:szCs w:val="28"/>
          <w:rtl/>
          <w:lang w:bidi="ar-DZ"/>
        </w:rPr>
        <w:t xml:space="preserve">وفيما يلي توضيح لتطور هذه النسبة خلال فترة الدراسة: </w:t>
      </w:r>
    </w:p>
    <w:p w:rsidR="00C75A30" w:rsidRDefault="00237B03" w:rsidP="00C75A30">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الجدول رقم (08):  تطور نسبة الأصول السائلة إلى إجمالي الالتزامات خلال الفترة 2009-2013</w:t>
      </w:r>
    </w:p>
    <w:p w:rsidR="00237B03" w:rsidRPr="00C75A30" w:rsidRDefault="00C75A30" w:rsidP="00C75A30">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00237B03" w:rsidRPr="00237B03">
        <w:rPr>
          <w:rFonts w:ascii="Traditional Arabic" w:hAnsi="Traditional Arabic" w:cs="Traditional Arabic" w:hint="cs"/>
          <w:sz w:val="28"/>
          <w:szCs w:val="28"/>
          <w:rtl/>
          <w:lang w:bidi="ar-DZ"/>
        </w:rPr>
        <w:t>الوحدة: الف درهم اماراتي</w:t>
      </w:r>
    </w:p>
    <w:tbl>
      <w:tblPr>
        <w:tblStyle w:val="LightGrid-Accent1"/>
        <w:bidiVisual/>
        <w:tblW w:w="0" w:type="auto"/>
        <w:jc w:val="center"/>
        <w:tblLook w:val="04A0"/>
      </w:tblPr>
      <w:tblGrid>
        <w:gridCol w:w="1466"/>
        <w:gridCol w:w="3162"/>
        <w:gridCol w:w="2720"/>
        <w:gridCol w:w="1938"/>
      </w:tblGrid>
      <w:tr w:rsidR="00237B03" w:rsidRPr="00FF6D2D" w:rsidTr="00FF6D2D">
        <w:trPr>
          <w:cnfStyle w:val="10000000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السنوات/ البيان</w:t>
            </w:r>
          </w:p>
        </w:tc>
        <w:tc>
          <w:tcPr>
            <w:tcW w:w="3364" w:type="dxa"/>
          </w:tcPr>
          <w:p w:rsidR="00237B03" w:rsidRPr="00FF6D2D" w:rsidRDefault="00FF6D2D" w:rsidP="00B72D23">
            <w:pPr>
              <w:bidi/>
              <w:cnfStyle w:val="100000000000"/>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مجموع الأصول السائلة</w:t>
            </w:r>
          </w:p>
        </w:tc>
        <w:tc>
          <w:tcPr>
            <w:tcW w:w="2873" w:type="dxa"/>
          </w:tcPr>
          <w:p w:rsidR="00237B03" w:rsidRPr="00FF6D2D" w:rsidRDefault="00FF6D2D" w:rsidP="00B72D23">
            <w:pPr>
              <w:bidi/>
              <w:cnfStyle w:val="100000000000"/>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إجمالي الالتزامات</w:t>
            </w:r>
          </w:p>
        </w:tc>
        <w:tc>
          <w:tcPr>
            <w:tcW w:w="2017" w:type="dxa"/>
          </w:tcPr>
          <w:p w:rsidR="00237B03" w:rsidRPr="00FF6D2D" w:rsidRDefault="00FF6D2D" w:rsidP="00B72D23">
            <w:pPr>
              <w:bidi/>
              <w:cnfStyle w:val="100000000000"/>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الأصول السائلة إلى إجمالي الالتزامات</w:t>
            </w:r>
            <w:r w:rsidRPr="00FF6D2D">
              <w:rPr>
                <w:rFonts w:ascii="Traditional Arabic" w:hAnsi="Traditional Arabic" w:cs="Traditional Arabic"/>
                <w:sz w:val="28"/>
                <w:szCs w:val="28"/>
                <w:rtl/>
                <w:lang w:bidi="ar-DZ"/>
              </w:rPr>
              <w:t>%</w:t>
            </w:r>
          </w:p>
        </w:tc>
      </w:tr>
      <w:tr w:rsidR="00237B03" w:rsidRPr="00FF6D2D" w:rsidTr="00FF6D2D">
        <w:trPr>
          <w:cnfStyle w:val="00000010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lang w:val="en-ZA" w:bidi="ar-DZ"/>
              </w:rPr>
            </w:pPr>
            <w:r w:rsidRPr="00FF6D2D">
              <w:rPr>
                <w:rFonts w:ascii="Traditional Arabic" w:hAnsi="Traditional Arabic" w:cs="Traditional Arabic"/>
                <w:sz w:val="28"/>
                <w:szCs w:val="28"/>
                <w:lang w:val="en-ZA" w:bidi="ar-DZ"/>
              </w:rPr>
              <w:t>2009</w:t>
            </w:r>
          </w:p>
        </w:tc>
        <w:tc>
          <w:tcPr>
            <w:tcW w:w="3364"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14168828</w:t>
            </w:r>
          </w:p>
        </w:tc>
        <w:tc>
          <w:tcPr>
            <w:tcW w:w="2873"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75323471</w:t>
            </w:r>
          </w:p>
        </w:tc>
        <w:tc>
          <w:tcPr>
            <w:tcW w:w="2017"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18,81</w:t>
            </w:r>
          </w:p>
        </w:tc>
      </w:tr>
      <w:tr w:rsidR="00237B03" w:rsidRPr="00FF6D2D" w:rsidTr="00FF6D2D">
        <w:trPr>
          <w:cnfStyle w:val="00000001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sz w:val="28"/>
                <w:szCs w:val="28"/>
                <w:lang w:bidi="ar-DZ"/>
              </w:rPr>
              <w:t>2010</w:t>
            </w:r>
          </w:p>
        </w:tc>
        <w:tc>
          <w:tcPr>
            <w:tcW w:w="3364"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13603756</w:t>
            </w:r>
          </w:p>
        </w:tc>
        <w:tc>
          <w:tcPr>
            <w:tcW w:w="2873"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79611314</w:t>
            </w:r>
          </w:p>
        </w:tc>
        <w:tc>
          <w:tcPr>
            <w:tcW w:w="2017"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17,09</w:t>
            </w:r>
          </w:p>
        </w:tc>
      </w:tr>
      <w:tr w:rsidR="00237B03" w:rsidRPr="00FF6D2D" w:rsidTr="00FF6D2D">
        <w:trPr>
          <w:cnfStyle w:val="00000010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sz w:val="28"/>
                <w:szCs w:val="28"/>
                <w:lang w:bidi="ar-DZ"/>
              </w:rPr>
              <w:t>2011</w:t>
            </w:r>
          </w:p>
        </w:tc>
        <w:tc>
          <w:tcPr>
            <w:tcW w:w="3364"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15995415</w:t>
            </w:r>
          </w:p>
        </w:tc>
        <w:tc>
          <w:tcPr>
            <w:tcW w:w="2873"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80414707</w:t>
            </w:r>
          </w:p>
        </w:tc>
        <w:tc>
          <w:tcPr>
            <w:tcW w:w="2017"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19,89</w:t>
            </w:r>
          </w:p>
        </w:tc>
      </w:tr>
      <w:tr w:rsidR="00237B03" w:rsidRPr="00FF6D2D" w:rsidTr="00FF6D2D">
        <w:trPr>
          <w:cnfStyle w:val="00000001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sz w:val="28"/>
                <w:szCs w:val="28"/>
                <w:lang w:bidi="ar-DZ"/>
              </w:rPr>
              <w:t>2012</w:t>
            </w:r>
          </w:p>
        </w:tc>
        <w:tc>
          <w:tcPr>
            <w:tcW w:w="3364"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18642663</w:t>
            </w:r>
          </w:p>
        </w:tc>
        <w:tc>
          <w:tcPr>
            <w:tcW w:w="2873"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84804833</w:t>
            </w:r>
          </w:p>
        </w:tc>
        <w:tc>
          <w:tcPr>
            <w:tcW w:w="2017"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21,98</w:t>
            </w:r>
          </w:p>
        </w:tc>
      </w:tr>
      <w:tr w:rsidR="00237B03" w:rsidRPr="00FF6D2D" w:rsidTr="00FF6D2D">
        <w:trPr>
          <w:cnfStyle w:val="00000010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sz w:val="28"/>
                <w:szCs w:val="28"/>
                <w:lang w:bidi="ar-DZ"/>
              </w:rPr>
              <w:t>2013</w:t>
            </w:r>
          </w:p>
        </w:tc>
        <w:tc>
          <w:tcPr>
            <w:tcW w:w="3364"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32318332</w:t>
            </w:r>
          </w:p>
        </w:tc>
        <w:tc>
          <w:tcPr>
            <w:tcW w:w="2873"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96946249</w:t>
            </w:r>
          </w:p>
        </w:tc>
        <w:tc>
          <w:tcPr>
            <w:tcW w:w="2017" w:type="dxa"/>
          </w:tcPr>
          <w:p w:rsidR="00237B03" w:rsidRPr="00FF6D2D" w:rsidRDefault="00FF6D2D" w:rsidP="00B72D23">
            <w:pPr>
              <w:bidi/>
              <w:cnfStyle w:val="00000010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33,34</w:t>
            </w:r>
          </w:p>
        </w:tc>
      </w:tr>
      <w:tr w:rsidR="00237B03" w:rsidRPr="00FF6D2D" w:rsidTr="00FF6D2D">
        <w:trPr>
          <w:cnfStyle w:val="000000010000"/>
          <w:jc w:val="center"/>
        </w:trPr>
        <w:tc>
          <w:tcPr>
            <w:cnfStyle w:val="001000000000"/>
            <w:tcW w:w="1524" w:type="dxa"/>
          </w:tcPr>
          <w:p w:rsidR="00237B03" w:rsidRPr="00FF6D2D" w:rsidRDefault="00FF6D2D" w:rsidP="00B72D23">
            <w:pPr>
              <w:bidi/>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المتوسط</w:t>
            </w:r>
          </w:p>
        </w:tc>
        <w:tc>
          <w:tcPr>
            <w:tcW w:w="3364" w:type="dxa"/>
          </w:tcPr>
          <w:p w:rsidR="00237B03" w:rsidRPr="00FF6D2D" w:rsidRDefault="00237B03" w:rsidP="00B72D23">
            <w:pPr>
              <w:bidi/>
              <w:cnfStyle w:val="000000010000"/>
              <w:rPr>
                <w:rFonts w:ascii="Traditional Arabic" w:hAnsi="Traditional Arabic" w:cs="Traditional Arabic"/>
                <w:b/>
                <w:bCs/>
                <w:sz w:val="28"/>
                <w:szCs w:val="28"/>
                <w:rtl/>
                <w:lang w:bidi="ar-DZ"/>
              </w:rPr>
            </w:pPr>
          </w:p>
        </w:tc>
        <w:tc>
          <w:tcPr>
            <w:tcW w:w="2873" w:type="dxa"/>
          </w:tcPr>
          <w:p w:rsidR="00237B03" w:rsidRPr="00FF6D2D" w:rsidRDefault="00237B03" w:rsidP="00B72D23">
            <w:pPr>
              <w:bidi/>
              <w:cnfStyle w:val="000000010000"/>
              <w:rPr>
                <w:rFonts w:ascii="Traditional Arabic" w:hAnsi="Traditional Arabic" w:cs="Traditional Arabic"/>
                <w:b/>
                <w:bCs/>
                <w:sz w:val="28"/>
                <w:szCs w:val="28"/>
                <w:rtl/>
                <w:lang w:bidi="ar-DZ"/>
              </w:rPr>
            </w:pPr>
          </w:p>
        </w:tc>
        <w:tc>
          <w:tcPr>
            <w:tcW w:w="2017" w:type="dxa"/>
          </w:tcPr>
          <w:p w:rsidR="00237B03" w:rsidRPr="00FF6D2D" w:rsidRDefault="00FF6D2D" w:rsidP="00B72D23">
            <w:pPr>
              <w:bidi/>
              <w:cnfStyle w:val="000000010000"/>
              <w:rPr>
                <w:rFonts w:ascii="Traditional Arabic" w:hAnsi="Traditional Arabic" w:cs="Traditional Arabic"/>
                <w:b/>
                <w:bCs/>
                <w:sz w:val="28"/>
                <w:szCs w:val="28"/>
                <w:rtl/>
                <w:lang w:bidi="ar-DZ"/>
              </w:rPr>
            </w:pPr>
            <w:r w:rsidRPr="00FF6D2D">
              <w:rPr>
                <w:rFonts w:ascii="Traditional Arabic" w:hAnsi="Traditional Arabic" w:cs="Traditional Arabic"/>
                <w:b/>
                <w:bCs/>
                <w:sz w:val="28"/>
                <w:szCs w:val="28"/>
                <w:lang w:bidi="ar-DZ"/>
              </w:rPr>
              <w:t>22,22</w:t>
            </w:r>
          </w:p>
        </w:tc>
      </w:tr>
    </w:tbl>
    <w:p w:rsidR="00237B03" w:rsidRPr="00FF6D2D" w:rsidRDefault="00FF6D2D" w:rsidP="00B72D23">
      <w:pPr>
        <w:bidi/>
        <w:spacing w:line="240" w:lineRule="auto"/>
        <w:rPr>
          <w:rFonts w:ascii="Traditional Arabic" w:hAnsi="Traditional Arabic" w:cs="Traditional Arabic"/>
          <w:sz w:val="24"/>
          <w:szCs w:val="24"/>
          <w:rtl/>
          <w:lang w:bidi="ar-DZ"/>
        </w:rPr>
      </w:pPr>
      <w:r w:rsidRPr="00FF6D2D">
        <w:rPr>
          <w:rFonts w:ascii="Traditional Arabic" w:hAnsi="Traditional Arabic" w:cs="Traditional Arabic" w:hint="cs"/>
          <w:sz w:val="24"/>
          <w:szCs w:val="24"/>
          <w:rtl/>
          <w:lang w:bidi="ar-DZ"/>
        </w:rPr>
        <w:t>المصدر: من إعداد الباحثان اعتمادا على التقارير المالية لبنك دبي الإسلامي خلال الفترة 2009-2013</w:t>
      </w:r>
    </w:p>
    <w:p w:rsidR="00FF6D2D" w:rsidRPr="00FF6D2D" w:rsidRDefault="00FF6D2D" w:rsidP="00B72D23">
      <w:pPr>
        <w:bidi/>
        <w:spacing w:line="240" w:lineRule="auto"/>
        <w:rPr>
          <w:rFonts w:ascii="Traditional Arabic" w:hAnsi="Traditional Arabic" w:cs="Traditional Arabic"/>
          <w:sz w:val="28"/>
          <w:szCs w:val="28"/>
          <w:rtl/>
          <w:lang w:bidi="ar-DZ"/>
        </w:rPr>
      </w:pPr>
      <w:r w:rsidRPr="00FF6D2D">
        <w:rPr>
          <w:rFonts w:ascii="Traditional Arabic" w:hAnsi="Traditional Arabic" w:cs="Traditional Arabic" w:hint="cs"/>
          <w:sz w:val="28"/>
          <w:szCs w:val="28"/>
          <w:rtl/>
          <w:lang w:bidi="ar-DZ"/>
        </w:rPr>
        <w:t>ويمكن تلخيص الجدول السابق في الشكل التالي:</w:t>
      </w:r>
    </w:p>
    <w:p w:rsidR="00092710" w:rsidRDefault="00FF6D2D" w:rsidP="00B72D23">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الشكل رقم (08): تطور نسبة الأصول السائلة إلى إجمالي الالتزامات في بنك دبي الإسلامي خلال الفترة 2009-2013</w:t>
      </w:r>
    </w:p>
    <w:p w:rsidR="00FD12D0" w:rsidRDefault="00FF6D2D" w:rsidP="00B72D23">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noProof/>
          <w:sz w:val="28"/>
          <w:szCs w:val="28"/>
          <w:rtl/>
          <w:lang w:val="en-US"/>
        </w:rPr>
        <w:drawing>
          <wp:inline distT="0" distB="0" distL="0" distR="0">
            <wp:extent cx="5486400" cy="3200400"/>
            <wp:effectExtent l="19050" t="0" r="1905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12D0" w:rsidRPr="00F9425D" w:rsidRDefault="00F9425D" w:rsidP="00B72D23">
      <w:pPr>
        <w:bidi/>
        <w:spacing w:line="240" w:lineRule="auto"/>
        <w:rPr>
          <w:rFonts w:ascii="Traditional Arabic" w:hAnsi="Traditional Arabic" w:cs="Traditional Arabic"/>
          <w:sz w:val="24"/>
          <w:szCs w:val="24"/>
          <w:rtl/>
          <w:lang w:bidi="ar-DZ"/>
        </w:rPr>
      </w:pPr>
      <w:r w:rsidRPr="00F9425D">
        <w:rPr>
          <w:rFonts w:ascii="Traditional Arabic" w:hAnsi="Traditional Arabic" w:cs="Traditional Arabic" w:hint="cs"/>
          <w:sz w:val="24"/>
          <w:szCs w:val="24"/>
          <w:rtl/>
          <w:lang w:bidi="ar-DZ"/>
        </w:rPr>
        <w:lastRenderedPageBreak/>
        <w:t>المصدر: من إعداد الباحثان اعتمادا على التقارير المالية لبنك دبي الإسلامي خلال الفترة 2009-2013</w:t>
      </w:r>
    </w:p>
    <w:p w:rsidR="00FD12D0" w:rsidRDefault="00F9425D"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نلاحظ من نتائج الجدول السابق ما يلي: </w:t>
      </w:r>
    </w:p>
    <w:p w:rsidR="00FD12D0" w:rsidRDefault="00F9425D" w:rsidP="00B72D23">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هناك تغير في نسبة الأصول السائلة إلى إجمالي الالتزامات سواء بالارتفاع أو بالانخفاض من سنة إلى سنة أخرى، فقد كانت محصورة في المجال 18,81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33,34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خلال سنوات الدراسة، إذ نلاحظ أنها كانت 18,81</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في سنة 2009 ثم انخفضت قليلا عام 2010 إلى 17,09</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وبقيت في ارتفاع لباقي السنوات الموالية وصولا إلى الحد الاقصى سنة 2013 والمقدرة ب: 33,34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وسبب هذا الارتفاع الكبير راجع إلى زيادة قيمة حقوق الملكية إذ أن بنك دبي الإسلامي وافق على زيادة نسبة تملك الاجانب في اسهمه إلى 25</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وبالتالي</w:t>
      </w:r>
      <w:r>
        <w:rPr>
          <w:rFonts w:ascii="Traditional Arabic" w:hAnsi="Traditional Arabic" w:cs="Traditional Arabic" w:hint="cs"/>
          <w:b/>
          <w:bCs/>
          <w:sz w:val="28"/>
          <w:szCs w:val="28"/>
          <w:rtl/>
          <w:lang w:bidi="ar-DZ"/>
        </w:rPr>
        <w:t xml:space="preserve"> زيادة في إجمالي الالتزامات.</w:t>
      </w:r>
    </w:p>
    <w:p w:rsidR="00F9425D" w:rsidRDefault="00F9425D" w:rsidP="00B72D23">
      <w:pPr>
        <w:bidi/>
        <w:spacing w:line="240" w:lineRule="auto"/>
        <w:rPr>
          <w:rFonts w:ascii="Traditional Arabic" w:hAnsi="Traditional Arabic" w:cs="Traditional Arabic"/>
          <w:sz w:val="28"/>
          <w:szCs w:val="28"/>
          <w:rtl/>
          <w:lang w:bidi="ar-DZ"/>
        </w:rPr>
      </w:pPr>
      <w:r w:rsidRPr="00F9425D">
        <w:rPr>
          <w:rFonts w:ascii="Traditional Arabic" w:hAnsi="Traditional Arabic" w:cs="Traditional Arabic" w:hint="cs"/>
          <w:sz w:val="28"/>
          <w:szCs w:val="28"/>
          <w:rtl/>
          <w:lang w:bidi="ar-DZ"/>
        </w:rPr>
        <w:t>- وقد بلغ متوسط النسب 22,22</w:t>
      </w:r>
      <w:r w:rsidRPr="00F9425D">
        <w:rPr>
          <w:rFonts w:ascii="Traditional Arabic" w:hAnsi="Traditional Arabic" w:cs="Traditional Arabic"/>
          <w:sz w:val="28"/>
          <w:szCs w:val="28"/>
          <w:rtl/>
          <w:lang w:bidi="ar-DZ"/>
        </w:rPr>
        <w:t>%</w:t>
      </w:r>
      <w:r w:rsidRPr="00F9425D">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إلا أن هذا المتوسط يعتبر مضللا لاحتوائه قيم شاذة وباستبعادها يصبح المتوسط 19,44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وبالتالي فان المجال المقبول لنسبة الأصول السائلة إلى إجمالي الالتزامات لبنك دبي الإسلامي محصور بين 19,44</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 22,22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وهي نسبة مقبولة تعتمد كمعيار لقياس النسب المثلى.</w:t>
      </w:r>
    </w:p>
    <w:p w:rsidR="00F9425D" w:rsidRDefault="00F9425D"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ويمكن للبنك زيادة هذه النسبة أي زيادة قدرته على سداد التزاماته المختلفة عن طريق اللجوء إلى الأسواق المالية باستخدام الأدوات المالية الإسلامية قصيرة الأجل.</w:t>
      </w:r>
    </w:p>
    <w:p w:rsidR="00F9425D" w:rsidRDefault="00F9425D" w:rsidP="007E133C">
      <w:pPr>
        <w:bidi/>
        <w:spacing w:after="120"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ومن خلال التحليل السابق لنسب السيولة في بنك دبي الإسلامي نصل إلى انه يتمتع بسيولة مرتفعة لديه هذا ما يدل على قدرته على مواجهته لجميع التزاماته.</w:t>
      </w:r>
    </w:p>
    <w:p w:rsidR="00F9425D" w:rsidRDefault="00A30EDE" w:rsidP="00B72D23">
      <w:pPr>
        <w:bidi/>
        <w:spacing w:line="240" w:lineRule="auto"/>
        <w:rPr>
          <w:rFonts w:ascii="Traditional Arabic" w:hAnsi="Traditional Arabic" w:cs="Traditional Arabic"/>
          <w:sz w:val="28"/>
          <w:szCs w:val="28"/>
          <w:rtl/>
          <w:lang w:bidi="ar-DZ"/>
        </w:rPr>
      </w:pPr>
      <w:r w:rsidRPr="00A40B4A">
        <w:rPr>
          <w:rFonts w:ascii="Traditional Arabic" w:hAnsi="Traditional Arabic" w:cs="Traditional Arabic" w:hint="cs"/>
          <w:b/>
          <w:bCs/>
          <w:sz w:val="28"/>
          <w:szCs w:val="28"/>
          <w:rtl/>
          <w:lang w:bidi="ar-DZ"/>
        </w:rPr>
        <w:t>الخاتمة</w:t>
      </w:r>
      <w:r>
        <w:rPr>
          <w:rFonts w:ascii="Traditional Arabic" w:hAnsi="Traditional Arabic" w:cs="Traditional Arabic" w:hint="cs"/>
          <w:sz w:val="28"/>
          <w:szCs w:val="28"/>
          <w:rtl/>
          <w:lang w:bidi="ar-DZ"/>
        </w:rPr>
        <w:t xml:space="preserve">: </w:t>
      </w:r>
    </w:p>
    <w:p w:rsidR="00A30EDE" w:rsidRDefault="00A30EDE"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انطلاقا من معالجة الإشكالية التي تم صياغتها في البداية حول واقع إدارة السيولة في البنوك الإسلامية تم الخروج بجملة من النتائج بالإضافة إلى وضع مجموعة من التوصيات التي نوردها كما يلي:</w:t>
      </w:r>
    </w:p>
    <w:p w:rsidR="00A30EDE" w:rsidRDefault="00A40B4A" w:rsidP="00B72D23">
      <w:pPr>
        <w:bidi/>
        <w:spacing w:line="240" w:lineRule="auto"/>
        <w:rPr>
          <w:rFonts w:ascii="Traditional Arabic" w:hAnsi="Traditional Arabic" w:cs="Traditional Arabic"/>
          <w:sz w:val="28"/>
          <w:szCs w:val="28"/>
          <w:rtl/>
          <w:lang w:bidi="ar-DZ"/>
        </w:rPr>
      </w:pPr>
      <w:r w:rsidRPr="00A40B4A">
        <w:rPr>
          <w:rFonts w:ascii="Traditional Arabic" w:hAnsi="Traditional Arabic" w:cs="Traditional Arabic" w:hint="cs"/>
          <w:b/>
          <w:bCs/>
          <w:sz w:val="28"/>
          <w:szCs w:val="28"/>
          <w:rtl/>
          <w:lang w:bidi="ar-DZ"/>
        </w:rPr>
        <w:t>1- نتائج الدراسة</w:t>
      </w:r>
      <w:r>
        <w:rPr>
          <w:rFonts w:ascii="Traditional Arabic" w:hAnsi="Traditional Arabic" w:cs="Traditional Arabic" w:hint="cs"/>
          <w:sz w:val="28"/>
          <w:szCs w:val="28"/>
          <w:rtl/>
          <w:lang w:bidi="ar-DZ"/>
        </w:rPr>
        <w:t>: يمكن حصر النتائج المتوصل إليها من خلال هذا البحث في:</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عمل البنوك الإسلامية يكون وفق أحكام الشريعة الإسلامية القائم على مبدا الغنم بالغرم مما يسهم في جذب العملاء للتعامل معها بكل ثقة والنظر إليها على أنها تحقق اهدافهم وأهداف المجتمع المسلم.</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تعتمد البنوك الإسلامية على بعض الطرق لحل مشكلة فائض السيولة ومنها ايداع الفائض في البنوك الربوية بغرض الاستثمار، المضاربة في الأسواق المالية العالمية إلا أن اغلبها لقي معارضة شديدة.</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حسن إدارة السيولة يكمن في الموازنة بين الابقاء على نسبة من السيولة للوفاء بالتزامات المتعاملين واستثمار جزء منها لتحقيق الربحية.</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إدارة السيولة في البنوك الإسلامية تتم من خلال الأصول وهذا بسبب افتقار الصناعة المالية الإسلامية إلى سوق مالية إسلامية تهدف لتوفير السيولة عن طريق تسييل الأدوات المالية في هذه السوق.</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نسبة التداول في بنك دبي الإسلامي كانت مرتفعة أي أنها كانت قادرة على تغطية التزاماتها المستحقة.</w:t>
      </w:r>
    </w:p>
    <w:p w:rsidR="00A40B4A" w:rsidRDefault="00A40B4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 </w:t>
      </w:r>
      <w:r w:rsidR="008C253A">
        <w:rPr>
          <w:rFonts w:ascii="Traditional Arabic" w:hAnsi="Traditional Arabic" w:cs="Traditional Arabic" w:hint="cs"/>
          <w:sz w:val="28"/>
          <w:szCs w:val="28"/>
          <w:rtl/>
          <w:lang w:bidi="ar-DZ"/>
        </w:rPr>
        <w:t>نسبة الاحتياطي القانوني كانت مرتفعة في بنك دبي الإسلامي إلى أن تعدت النسبة المفروضة من قبل البنك المركزي الاماراتي والمقدرة ب: 10</w:t>
      </w:r>
      <w:r w:rsidR="008C253A">
        <w:rPr>
          <w:rFonts w:ascii="Traditional Arabic" w:hAnsi="Traditional Arabic" w:cs="Traditional Arabic"/>
          <w:sz w:val="28"/>
          <w:szCs w:val="28"/>
          <w:rtl/>
          <w:lang w:bidi="ar-DZ"/>
        </w:rPr>
        <w:t>%</w:t>
      </w:r>
      <w:r w:rsidR="008C253A">
        <w:rPr>
          <w:rFonts w:ascii="Traditional Arabic" w:hAnsi="Traditional Arabic" w:cs="Traditional Arabic" w:hint="cs"/>
          <w:sz w:val="28"/>
          <w:szCs w:val="28"/>
          <w:rtl/>
          <w:lang w:bidi="ar-DZ"/>
        </w:rPr>
        <w:t xml:space="preserve"> أي وجود فائض سيولة غير مستثمر ويرجع اضطرار البنك للاحتفاظ بهذه النسبة نتيجة تطبيق القواعد والمعايير من قبل البنك المركزي الإماراتي على البنوك الإسلامية والبنوك التقليدية بشكل مساو وبدون تمييز.</w:t>
      </w:r>
    </w:p>
    <w:p w:rsidR="008C253A" w:rsidRDefault="008C253A" w:rsidP="00B72D23">
      <w:pPr>
        <w:bidi/>
        <w:spacing w:line="240" w:lineRule="auto"/>
        <w:rPr>
          <w:rFonts w:ascii="Traditional Arabic" w:hAnsi="Traditional Arabic" w:cs="Traditional Arabic"/>
          <w:sz w:val="28"/>
          <w:szCs w:val="28"/>
          <w:rtl/>
          <w:lang w:bidi="ar-DZ"/>
        </w:rPr>
      </w:pPr>
      <w:r w:rsidRPr="008C253A">
        <w:rPr>
          <w:rFonts w:ascii="Traditional Arabic" w:hAnsi="Traditional Arabic" w:cs="Traditional Arabic" w:hint="cs"/>
          <w:b/>
          <w:bCs/>
          <w:sz w:val="28"/>
          <w:szCs w:val="28"/>
          <w:rtl/>
          <w:lang w:bidi="ar-DZ"/>
        </w:rPr>
        <w:t>2- التوصيات المقترحة</w:t>
      </w:r>
      <w:r>
        <w:rPr>
          <w:rFonts w:ascii="Traditional Arabic" w:hAnsi="Traditional Arabic" w:cs="Traditional Arabic" w:hint="cs"/>
          <w:sz w:val="28"/>
          <w:szCs w:val="28"/>
          <w:rtl/>
          <w:lang w:bidi="ar-DZ"/>
        </w:rPr>
        <w:t>: بعد عرض نتائج العمل لابد من اقتراح بعض التوصيات العامة:</w:t>
      </w:r>
    </w:p>
    <w:p w:rsidR="008C253A" w:rsidRDefault="008C253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إنشاء بنك مركزي إسلامي لكل البنوك والمؤسسات المالية الإسلامية.</w:t>
      </w:r>
    </w:p>
    <w:p w:rsidR="008C253A" w:rsidRDefault="008C253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إيجاد وحدات رقابة داخلية تابعة لادارة السيولة تكون ذات آلية خاصة للتحكم في السيولة.</w:t>
      </w:r>
    </w:p>
    <w:p w:rsidR="008C253A" w:rsidRDefault="008C253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تامين خطط الطوارئ بديلة للتمكن من مواجهة ازمات السيولة التي قد تتعرض لها البنوك.</w:t>
      </w:r>
    </w:p>
    <w:p w:rsidR="008C253A" w:rsidRDefault="008C253A"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1A09E1">
        <w:rPr>
          <w:rFonts w:ascii="Traditional Arabic" w:hAnsi="Traditional Arabic" w:cs="Traditional Arabic" w:hint="cs"/>
          <w:sz w:val="28"/>
          <w:szCs w:val="28"/>
          <w:rtl/>
          <w:lang w:bidi="ar-DZ"/>
        </w:rPr>
        <w:t>إنشاء نظام معلوماتي جديد لقياس وتحديد متطلبات السيولة.</w:t>
      </w:r>
    </w:p>
    <w:p w:rsidR="001A09E1" w:rsidRDefault="001A09E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استثمار فائض الاحتياطي القانوني في صكوك حكومية.</w:t>
      </w:r>
    </w:p>
    <w:p w:rsidR="001A09E1" w:rsidRDefault="001A09E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تطوير وابتكار أدوات مالية إسلامية جديدة لادراة السيولة في البنوك الإسلامية.</w:t>
      </w:r>
    </w:p>
    <w:p w:rsidR="001A09E1" w:rsidRDefault="001A09E1" w:rsidP="00B72D23">
      <w:pPr>
        <w:bidi/>
        <w:spacing w:line="240" w:lineRule="auto"/>
        <w:rPr>
          <w:rFonts w:ascii="Traditional Arabic" w:hAnsi="Traditional Arabic" w:cs="Traditional Arabic"/>
          <w:sz w:val="28"/>
          <w:szCs w:val="28"/>
          <w:rtl/>
          <w:lang w:bidi="ar-DZ"/>
        </w:rPr>
      </w:pPr>
      <w:r w:rsidRPr="001A09E1">
        <w:rPr>
          <w:rFonts w:ascii="Traditional Arabic" w:hAnsi="Traditional Arabic" w:cs="Traditional Arabic" w:hint="cs"/>
          <w:b/>
          <w:bCs/>
          <w:sz w:val="28"/>
          <w:szCs w:val="28"/>
          <w:rtl/>
          <w:lang w:bidi="ar-DZ"/>
        </w:rPr>
        <w:t>3- أفاق الدراسة</w:t>
      </w:r>
      <w:r>
        <w:rPr>
          <w:rFonts w:ascii="Traditional Arabic" w:hAnsi="Traditional Arabic" w:cs="Traditional Arabic" w:hint="cs"/>
          <w:sz w:val="28"/>
          <w:szCs w:val="28"/>
          <w:rtl/>
          <w:lang w:bidi="ar-DZ"/>
        </w:rPr>
        <w:t>: بعد دراسة هذا الموضوع ظهر لنا إمكانية المواصلة في البحث من عدة جوانب يمكنها أن تكون محل اشكاليات لبحوث مستقبلية تستحق الدراسة وذلك بالتطرق إلى المواضيع التالية:</w:t>
      </w:r>
    </w:p>
    <w:p w:rsidR="001A09E1" w:rsidRDefault="001A09E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تفعيل الأسواق المالية الإسلامية لادارة السيولة بالمؤسسات المالية الإسلامية.</w:t>
      </w:r>
    </w:p>
    <w:p w:rsidR="001A09E1" w:rsidRDefault="001A09E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دور البنك المركزي الإسلامي في علاج مشكلة السيولة في البنوك الإسلامية.</w:t>
      </w:r>
    </w:p>
    <w:p w:rsidR="001D33C2" w:rsidRDefault="001A09E1" w:rsidP="00B72D23">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دور الهندسة المالية في إدارة السيولة في البنوك الإسلامية.</w:t>
      </w:r>
    </w:p>
    <w:p w:rsidR="00FD12D0" w:rsidRPr="00F9425D" w:rsidRDefault="00F9425D" w:rsidP="005C2905">
      <w:pPr>
        <w:bidi/>
        <w:spacing w:line="240" w:lineRule="auto"/>
        <w:rPr>
          <w:rFonts w:ascii="Traditional Arabic" w:hAnsi="Traditional Arabic" w:cs="Traditional Arabic"/>
          <w:rtl/>
          <w:lang w:bidi="ar-DZ"/>
        </w:rPr>
      </w:pPr>
      <w:r w:rsidRPr="00A5260F">
        <w:rPr>
          <w:rFonts w:ascii="Traditional Arabic" w:hAnsi="Traditional Arabic" w:cs="Traditional Arabic" w:hint="cs"/>
          <w:b/>
          <w:bCs/>
          <w:rtl/>
          <w:lang w:bidi="ar-DZ"/>
        </w:rPr>
        <w:t>قائمة المراجع</w:t>
      </w:r>
      <w:r w:rsidRPr="00F9425D">
        <w:rPr>
          <w:rFonts w:ascii="Traditional Arabic" w:hAnsi="Traditional Arabic" w:cs="Traditional Arabic" w:hint="cs"/>
          <w:rtl/>
          <w:lang w:bidi="ar-DZ"/>
        </w:rPr>
        <w:t>:</w:t>
      </w:r>
    </w:p>
    <w:p w:rsidR="001E6FB7" w:rsidRPr="00F9425D" w:rsidRDefault="005A6A06"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1- الإمارات العربية المتحدة- الجهاز المصرفي- موقع الكتروني، تاريخ الاطلاع: 03/04/2014، ساعة الاطلاع</w:t>
      </w:r>
      <w:r w:rsidR="001E6FB7" w:rsidRPr="00F9425D">
        <w:rPr>
          <w:rFonts w:ascii="Traditional Arabic" w:hAnsi="Traditional Arabic" w:cs="Traditional Arabic" w:hint="cs"/>
          <w:rtl/>
          <w:lang w:bidi="ar-DZ"/>
        </w:rPr>
        <w:t xml:space="preserve"> 22:42</w:t>
      </w:r>
    </w:p>
    <w:p w:rsidR="001E6FB7" w:rsidRPr="00F9425D" w:rsidRDefault="00276DD1" w:rsidP="00B72D23">
      <w:pPr>
        <w:spacing w:line="240" w:lineRule="auto"/>
        <w:rPr>
          <w:rFonts w:ascii="Traditional Arabic" w:hAnsi="Traditional Arabic" w:cs="Traditional Arabic"/>
          <w:lang w:bidi="ar-DZ"/>
        </w:rPr>
      </w:pPr>
      <w:hyperlink r:id="rId15" w:history="1">
        <w:r w:rsidR="001E6FB7" w:rsidRPr="00F9425D">
          <w:rPr>
            <w:rStyle w:val="Hyperlink"/>
            <w:rFonts w:ascii="Traditional Arabic" w:hAnsi="Traditional Arabic" w:cs="Traditional Arabic"/>
            <w:lang w:bidi="ar-DZ"/>
          </w:rPr>
          <w:t>http</w:t>
        </w:r>
        <w:r w:rsidR="00C6416B" w:rsidRPr="00F9425D">
          <w:rPr>
            <w:rStyle w:val="Hyperlink"/>
            <w:rFonts w:ascii="Traditional Arabic" w:hAnsi="Traditional Arabic" w:cs="Traditional Arabic"/>
            <w:lang w:bidi="ar-DZ"/>
          </w:rPr>
          <w:t> </w:t>
        </w:r>
        <w:r w:rsidR="001E6FB7" w:rsidRPr="00F9425D">
          <w:rPr>
            <w:rStyle w:val="Hyperlink"/>
            <w:rFonts w:ascii="Traditional Arabic" w:hAnsi="Traditional Arabic" w:cs="Traditional Arabic"/>
            <w:lang w:bidi="ar-DZ"/>
          </w:rPr>
          <w:t>://www.alamuae.com/uae/showtopics-659.htmi</w:t>
        </w:r>
      </w:hyperlink>
      <w:r w:rsidR="001E6FB7" w:rsidRPr="00F9425D">
        <w:rPr>
          <w:rFonts w:ascii="Traditional Arabic" w:hAnsi="Traditional Arabic" w:cs="Traditional Arabic"/>
          <w:lang w:bidi="ar-DZ"/>
        </w:rPr>
        <w:t>.</w:t>
      </w:r>
    </w:p>
    <w:p w:rsidR="005A6A06" w:rsidRPr="00F9425D" w:rsidRDefault="005A6A06"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 xml:space="preserve"> </w:t>
      </w:r>
      <w:r w:rsidR="001E6FB7" w:rsidRPr="00F9425D">
        <w:rPr>
          <w:rFonts w:ascii="Traditional Arabic" w:hAnsi="Traditional Arabic" w:cs="Traditional Arabic" w:hint="cs"/>
          <w:rtl/>
          <w:lang w:bidi="ar-DZ"/>
        </w:rPr>
        <w:t>2- الموقع الالكتروني، تاريخ الاطلاع عليه 16/04/2014، ساعة الاطلاع 10:49</w:t>
      </w:r>
    </w:p>
    <w:p w:rsidR="001E6FB7" w:rsidRPr="00F9425D" w:rsidRDefault="001E6FB7" w:rsidP="00B72D23">
      <w:pPr>
        <w:spacing w:line="240" w:lineRule="auto"/>
        <w:rPr>
          <w:rFonts w:ascii="Times New Roman" w:hAnsi="Times New Roman" w:cs="Times New Roman"/>
          <w:lang w:bidi="ar-DZ"/>
        </w:rPr>
      </w:pPr>
      <w:r w:rsidRPr="00F9425D">
        <w:rPr>
          <w:rFonts w:ascii="Traditional Arabic" w:hAnsi="Traditional Arabic" w:cs="Traditional Arabic"/>
          <w:lang w:bidi="ar-DZ"/>
        </w:rPr>
        <w:t>http://www.uaepedia.ae/indesc.php/%&amp;d&amp;%A7%AF</w:t>
      </w:r>
      <w:r w:rsidRPr="00F9425D">
        <w:rPr>
          <w:rFonts w:ascii="Times New Roman" w:hAnsi="Times New Roman" w:cs="Times New Roman"/>
          <w:lang w:bidi="ar-DZ"/>
        </w:rPr>
        <w:t>≠.</w:t>
      </w:r>
    </w:p>
    <w:p w:rsidR="001E6FB7" w:rsidRPr="00F9425D" w:rsidRDefault="001A410F"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 xml:space="preserve">3- الإمارات العربية المتحدة، الجهاز المصرفي، من الموقع </w:t>
      </w:r>
      <w:hyperlink r:id="rId16" w:history="1">
        <w:r w:rsidR="00BB3A36" w:rsidRPr="00F9425D">
          <w:rPr>
            <w:rStyle w:val="Hyperlink"/>
            <w:rFonts w:ascii="Traditional Arabic" w:hAnsi="Traditional Arabic" w:cs="Traditional Arabic"/>
            <w:lang w:bidi="ar-DZ"/>
          </w:rPr>
          <w:t>http</w:t>
        </w:r>
        <w:r w:rsidR="00C6416B" w:rsidRPr="00F9425D">
          <w:rPr>
            <w:rStyle w:val="Hyperlink"/>
            <w:rFonts w:ascii="Traditional Arabic" w:hAnsi="Traditional Arabic" w:cs="Traditional Arabic"/>
            <w:lang w:bidi="ar-DZ"/>
          </w:rPr>
          <w:t> </w:t>
        </w:r>
        <w:r w:rsidR="00BB3A36" w:rsidRPr="00F9425D">
          <w:rPr>
            <w:rStyle w:val="Hyperlink"/>
            <w:rFonts w:ascii="Traditional Arabic" w:hAnsi="Traditional Arabic" w:cs="Traditional Arabic"/>
            <w:lang w:bidi="ar-DZ"/>
          </w:rPr>
          <w:t>://www.alamuae.com/uae/showtopics-659.html</w:t>
        </w:r>
      </w:hyperlink>
      <w:r w:rsidR="00BB3A36" w:rsidRPr="00F9425D">
        <w:rPr>
          <w:rFonts w:ascii="Traditional Arabic" w:hAnsi="Traditional Arabic" w:cs="Traditional Arabic"/>
          <w:lang w:bidi="ar-DZ"/>
        </w:rPr>
        <w:t>.</w:t>
      </w:r>
      <w:r w:rsidR="00BB3A36" w:rsidRPr="00F9425D">
        <w:rPr>
          <w:rFonts w:ascii="Traditional Arabic" w:hAnsi="Traditional Arabic" w:cs="Traditional Arabic" w:hint="cs"/>
          <w:rtl/>
          <w:lang w:bidi="ar-DZ"/>
        </w:rPr>
        <w:t xml:space="preserve">  ، تاريخ الاطلاع: 03/04/2014، ساعة الاطلاع: 10:49.</w:t>
      </w:r>
    </w:p>
    <w:p w:rsidR="00BB3A36" w:rsidRPr="00F9425D" w:rsidRDefault="00542AEB"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4- محمد سعيد عميرة: اقتصاد دولة الامارات العربية المتحدة- الانجازات المحققة والتطلعات المستقبلية- مجاة التعاون الاقتصادي بين الدول الإسلامية، 2002، ص12.</w:t>
      </w:r>
    </w:p>
    <w:p w:rsidR="00542AEB" w:rsidRPr="00F9425D" w:rsidRDefault="00EC74D4"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5- سلسلة سامبا: سلسلة تقارير، الرياض، المملكة العربية السعودية، فبراير، 2009، ص21.</w:t>
      </w:r>
    </w:p>
    <w:p w:rsidR="00522232" w:rsidRPr="00F9425D" w:rsidRDefault="00522232"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6- التقرير المالي السنوي لبنك دبي الإسلامي، سنة 2013، ص09.</w:t>
      </w:r>
    </w:p>
    <w:p w:rsidR="00522232" w:rsidRPr="00F9425D" w:rsidRDefault="00522232"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lastRenderedPageBreak/>
        <w:t xml:space="preserve">7- سامر عبد الناصر منصور: المشكلات المحاسبية لتقييم الاوراق المالية الموافقة للشريعة الإسلامية </w:t>
      </w:r>
      <w:r w:rsidRPr="00F9425D">
        <w:rPr>
          <w:rFonts w:ascii="Traditional Arabic" w:hAnsi="Traditional Arabic" w:cs="Traditional Arabic"/>
          <w:rtl/>
          <w:lang w:bidi="ar-DZ"/>
        </w:rPr>
        <w:t>–</w:t>
      </w:r>
      <w:r w:rsidRPr="00F9425D">
        <w:rPr>
          <w:rFonts w:ascii="Traditional Arabic" w:hAnsi="Traditional Arabic" w:cs="Traditional Arabic" w:hint="cs"/>
          <w:rtl/>
          <w:lang w:bidi="ar-DZ"/>
        </w:rPr>
        <w:t xml:space="preserve"> بالتطبيق في أسواق الاوراق المالية والعربية- مذكرة ماجستير في المحاسبة، كلية الاقتصاد، جامعة حلب، سوريا، 2009، ص115.</w:t>
      </w:r>
    </w:p>
    <w:p w:rsidR="00522232" w:rsidRPr="00F9425D" w:rsidRDefault="00722A17"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8- الموقع الرسمي للبنك، تاريخ الاطلاع عليه: 03/04/2014، ساعة الاطلاع: 13:28.</w:t>
      </w:r>
    </w:p>
    <w:p w:rsidR="00722A17" w:rsidRPr="00F9425D" w:rsidRDefault="00276DD1" w:rsidP="00B72D23">
      <w:pPr>
        <w:spacing w:line="240" w:lineRule="auto"/>
        <w:rPr>
          <w:rFonts w:ascii="Traditional Arabic" w:hAnsi="Traditional Arabic" w:cs="Traditional Arabic"/>
          <w:lang w:bidi="ar-DZ"/>
        </w:rPr>
      </w:pPr>
      <w:hyperlink r:id="rId17" w:history="1">
        <w:r w:rsidR="00722A17" w:rsidRPr="00F9425D">
          <w:rPr>
            <w:rStyle w:val="Hyperlink"/>
            <w:rFonts w:ascii="Traditional Arabic" w:hAnsi="Traditional Arabic" w:cs="Traditional Arabic"/>
            <w:lang w:bidi="ar-DZ"/>
          </w:rPr>
          <w:t>http</w:t>
        </w:r>
        <w:r w:rsidR="00C6416B" w:rsidRPr="00F9425D">
          <w:rPr>
            <w:rStyle w:val="Hyperlink"/>
            <w:rFonts w:ascii="Traditional Arabic" w:hAnsi="Traditional Arabic" w:cs="Traditional Arabic"/>
            <w:lang w:bidi="ar-DZ"/>
          </w:rPr>
          <w:t> </w:t>
        </w:r>
        <w:r w:rsidR="00722A17" w:rsidRPr="00F9425D">
          <w:rPr>
            <w:rStyle w:val="Hyperlink"/>
            <w:rFonts w:ascii="Traditional Arabic" w:hAnsi="Traditional Arabic" w:cs="Traditional Arabic"/>
            <w:lang w:bidi="ar-DZ"/>
          </w:rPr>
          <w:t>://www.dib.ae/ar/aboutus/mission-and-vision</w:t>
        </w:r>
      </w:hyperlink>
      <w:r w:rsidR="00722A17" w:rsidRPr="00F9425D">
        <w:rPr>
          <w:rFonts w:ascii="Traditional Arabic" w:hAnsi="Traditional Arabic" w:cs="Traditional Arabic"/>
          <w:lang w:bidi="ar-DZ"/>
        </w:rPr>
        <w:t>.</w:t>
      </w:r>
    </w:p>
    <w:p w:rsidR="00722A17" w:rsidRPr="00F9425D" w:rsidRDefault="00C6416B"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9- المرقع الرسمي للبنك، تاريخ الاطلاع: 12/02/2014، ساعة الاطلاع: 16:35.</w:t>
      </w:r>
    </w:p>
    <w:p w:rsidR="00C6416B" w:rsidRPr="00F9425D" w:rsidRDefault="00276DD1" w:rsidP="00B72D23">
      <w:pPr>
        <w:spacing w:line="240" w:lineRule="auto"/>
        <w:rPr>
          <w:rFonts w:ascii="Traditional Arabic" w:hAnsi="Traditional Arabic" w:cs="Traditional Arabic"/>
          <w:lang w:bidi="ar-DZ"/>
        </w:rPr>
      </w:pPr>
      <w:hyperlink r:id="rId18" w:history="1">
        <w:r w:rsidR="00C6416B" w:rsidRPr="00F9425D">
          <w:rPr>
            <w:rStyle w:val="Hyperlink"/>
            <w:rFonts w:ascii="Traditional Arabic" w:hAnsi="Traditional Arabic" w:cs="Traditional Arabic"/>
            <w:lang w:bidi="ar-DZ"/>
          </w:rPr>
          <w:t>www.dib.ae/ar/aboutdil-mission.htm</w:t>
        </w:r>
      </w:hyperlink>
      <w:r w:rsidR="00C6416B" w:rsidRPr="00F9425D">
        <w:rPr>
          <w:rFonts w:ascii="Traditional Arabic" w:hAnsi="Traditional Arabic" w:cs="Traditional Arabic"/>
          <w:lang w:bidi="ar-DZ"/>
        </w:rPr>
        <w:t>.</w:t>
      </w:r>
    </w:p>
    <w:p w:rsidR="00A27CA8" w:rsidRPr="00F9425D" w:rsidRDefault="00E567E7"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1</w:t>
      </w:r>
      <w:r w:rsidR="00A27CA8" w:rsidRPr="00F9425D">
        <w:rPr>
          <w:rFonts w:ascii="Traditional Arabic" w:hAnsi="Traditional Arabic" w:cs="Traditional Arabic" w:hint="cs"/>
          <w:rtl/>
          <w:lang w:bidi="ar-DZ"/>
        </w:rPr>
        <w:t>0- معلومات من الموقع الالكتروني</w:t>
      </w:r>
      <w:r w:rsidRPr="00F9425D">
        <w:rPr>
          <w:rFonts w:ascii="Traditional Arabic" w:hAnsi="Traditional Arabic" w:cs="Traditional Arabic" w:hint="cs"/>
          <w:rtl/>
          <w:lang w:bidi="ar-DZ"/>
        </w:rPr>
        <w:t xml:space="preserve"> </w:t>
      </w:r>
      <w:r w:rsidR="00A27CA8" w:rsidRPr="00F9425D">
        <w:rPr>
          <w:rFonts w:ascii="Traditional Arabic" w:hAnsi="Traditional Arabic" w:cs="Traditional Arabic" w:hint="cs"/>
          <w:rtl/>
          <w:lang w:bidi="ar-DZ"/>
        </w:rPr>
        <w:t xml:space="preserve">تم الاطلاع عليه يوم 13/04/2014، ساعة: 12:44 </w:t>
      </w:r>
    </w:p>
    <w:p w:rsidR="00C6416B" w:rsidRPr="00F9425D" w:rsidRDefault="00276DD1" w:rsidP="00B72D23">
      <w:pPr>
        <w:bidi/>
        <w:spacing w:line="240" w:lineRule="auto"/>
        <w:rPr>
          <w:rFonts w:ascii="Traditional Arabic" w:hAnsi="Traditional Arabic" w:cs="Traditional Arabic"/>
          <w:lang w:bidi="ar-DZ"/>
        </w:rPr>
      </w:pPr>
      <w:hyperlink r:id="rId19" w:history="1">
        <w:r w:rsidR="00A27CA8" w:rsidRPr="00F9425D">
          <w:rPr>
            <w:rStyle w:val="Hyperlink"/>
            <w:rFonts w:ascii="Traditional Arabic" w:hAnsi="Traditional Arabic" w:cs="Traditional Arabic"/>
            <w:lang w:bidi="ar-DZ"/>
          </w:rPr>
          <w:t>http://www.argaam.com/company/companyprofile/marketed/1/companyid/2/</w:t>
        </w:r>
      </w:hyperlink>
      <w:r w:rsidR="00A27CA8" w:rsidRPr="00F9425D">
        <w:rPr>
          <w:rFonts w:ascii="Traditional Arabic" w:hAnsi="Traditional Arabic" w:cs="Traditional Arabic"/>
          <w:lang w:bidi="ar-DZ"/>
        </w:rPr>
        <w:t>.</w:t>
      </w:r>
    </w:p>
    <w:p w:rsidR="00A27CA8" w:rsidRPr="00F9425D" w:rsidRDefault="00A27CA8" w:rsidP="00B72D23">
      <w:pPr>
        <w:bidi/>
        <w:spacing w:line="240" w:lineRule="auto"/>
        <w:rPr>
          <w:rFonts w:ascii="Traditional Arabic" w:hAnsi="Traditional Arabic" w:cs="Traditional Arabic"/>
          <w:rtl/>
          <w:lang w:bidi="ar-DZ"/>
        </w:rPr>
      </w:pPr>
      <w:r w:rsidRPr="00F9425D">
        <w:rPr>
          <w:rFonts w:ascii="Traditional Arabic" w:hAnsi="Traditional Arabic" w:cs="Traditional Arabic" w:hint="cs"/>
          <w:rtl/>
          <w:lang w:bidi="ar-DZ"/>
        </w:rPr>
        <w:t xml:space="preserve">11- </w:t>
      </w:r>
      <w:hyperlink r:id="rId20" w:history="1">
        <w:r w:rsidRPr="00F9425D">
          <w:rPr>
            <w:rStyle w:val="Hyperlink"/>
            <w:rFonts w:ascii="Traditional Arabic" w:hAnsi="Traditional Arabic" w:cs="Traditional Arabic"/>
            <w:lang w:bidi="ar-DZ"/>
          </w:rPr>
          <w:t>http://www.argaam.com/portal/companyprofile.aspxcompanyid=2&amp;marketed=1</w:t>
        </w:r>
      </w:hyperlink>
      <w:r w:rsidRPr="00F9425D">
        <w:rPr>
          <w:rFonts w:ascii="Traditional Arabic" w:hAnsi="Traditional Arabic" w:cs="Traditional Arabic"/>
          <w:lang w:bidi="ar-DZ"/>
        </w:rPr>
        <w:t xml:space="preserve">. </w:t>
      </w:r>
      <w:r w:rsidRPr="00F9425D">
        <w:rPr>
          <w:rFonts w:ascii="Traditional Arabic" w:hAnsi="Traditional Arabic" w:cs="Traditional Arabic" w:hint="cs"/>
          <w:rtl/>
          <w:lang w:bidi="ar-DZ"/>
        </w:rPr>
        <w:t>تاريخ الاطلاع: 09/04/2014، ساعة 21:18.</w:t>
      </w:r>
    </w:p>
    <w:p w:rsidR="00A27CA8" w:rsidRPr="00F9425D" w:rsidRDefault="00A27CA8" w:rsidP="00B72D23">
      <w:pPr>
        <w:bidi/>
        <w:spacing w:line="240" w:lineRule="auto"/>
        <w:rPr>
          <w:rFonts w:ascii="Traditional Arabic" w:hAnsi="Traditional Arabic" w:cs="Traditional Arabic"/>
          <w:rtl/>
          <w:lang w:bidi="ar-DZ"/>
        </w:rPr>
      </w:pPr>
    </w:p>
    <w:p w:rsidR="005A6A06" w:rsidRPr="00F9425D" w:rsidRDefault="005A6A06" w:rsidP="00B72D23">
      <w:pPr>
        <w:bidi/>
        <w:spacing w:line="240" w:lineRule="auto"/>
        <w:rPr>
          <w:rFonts w:ascii="Traditional Arabic" w:hAnsi="Traditional Arabic" w:cs="Traditional Arabic"/>
          <w:rtl/>
          <w:lang w:bidi="ar-DZ"/>
        </w:rPr>
      </w:pPr>
    </w:p>
    <w:p w:rsidR="00312980" w:rsidRPr="00F9425D" w:rsidRDefault="00312980" w:rsidP="00B72D23">
      <w:pPr>
        <w:bidi/>
        <w:spacing w:line="240" w:lineRule="auto"/>
        <w:rPr>
          <w:rFonts w:ascii="Traditional Arabic" w:hAnsi="Traditional Arabic" w:cs="Traditional Arabic"/>
          <w:rtl/>
          <w:lang w:bidi="ar-DZ"/>
        </w:rPr>
      </w:pPr>
    </w:p>
    <w:sectPr w:rsidR="00312980" w:rsidRPr="00F9425D" w:rsidSect="00766938">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6F" w:rsidRDefault="00F5246F" w:rsidP="00BE693C">
      <w:pPr>
        <w:spacing w:after="0" w:line="240" w:lineRule="auto"/>
      </w:pPr>
      <w:r>
        <w:separator/>
      </w:r>
    </w:p>
  </w:endnote>
  <w:endnote w:type="continuationSeparator" w:id="0">
    <w:p w:rsidR="00F5246F" w:rsidRDefault="00F5246F" w:rsidP="00BE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6F" w:rsidRDefault="00F5246F" w:rsidP="00BE693C">
      <w:pPr>
        <w:spacing w:after="0" w:line="240" w:lineRule="auto"/>
      </w:pPr>
      <w:r>
        <w:separator/>
      </w:r>
    </w:p>
  </w:footnote>
  <w:footnote w:type="continuationSeparator" w:id="0">
    <w:p w:rsidR="00F5246F" w:rsidRDefault="00F5246F" w:rsidP="00BE6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671E"/>
    <w:multiLevelType w:val="hybridMultilevel"/>
    <w:tmpl w:val="A76C7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B57F1F"/>
    <w:multiLevelType w:val="hybridMultilevel"/>
    <w:tmpl w:val="99AA793C"/>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
    <w:nsid w:val="651117C0"/>
    <w:multiLevelType w:val="hybridMultilevel"/>
    <w:tmpl w:val="B2F4CDC8"/>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
    <w:nsid w:val="7FD970EB"/>
    <w:multiLevelType w:val="hybridMultilevel"/>
    <w:tmpl w:val="56A43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7668"/>
    <w:rsid w:val="00017BD3"/>
    <w:rsid w:val="00054273"/>
    <w:rsid w:val="00083805"/>
    <w:rsid w:val="00085006"/>
    <w:rsid w:val="00092710"/>
    <w:rsid w:val="000D1176"/>
    <w:rsid w:val="0010516C"/>
    <w:rsid w:val="0015102E"/>
    <w:rsid w:val="00185415"/>
    <w:rsid w:val="00187482"/>
    <w:rsid w:val="001A09E1"/>
    <w:rsid w:val="001A410F"/>
    <w:rsid w:val="001B0D8A"/>
    <w:rsid w:val="001D33C2"/>
    <w:rsid w:val="001E6FB7"/>
    <w:rsid w:val="001F7930"/>
    <w:rsid w:val="00220133"/>
    <w:rsid w:val="00237B03"/>
    <w:rsid w:val="00260DF6"/>
    <w:rsid w:val="002730C6"/>
    <w:rsid w:val="00276DD1"/>
    <w:rsid w:val="002B31B4"/>
    <w:rsid w:val="002E3572"/>
    <w:rsid w:val="002E4950"/>
    <w:rsid w:val="00312980"/>
    <w:rsid w:val="00347EE7"/>
    <w:rsid w:val="003B0EAA"/>
    <w:rsid w:val="00412080"/>
    <w:rsid w:val="00442A88"/>
    <w:rsid w:val="0044455C"/>
    <w:rsid w:val="00520A83"/>
    <w:rsid w:val="00522232"/>
    <w:rsid w:val="00542AEB"/>
    <w:rsid w:val="005A6A06"/>
    <w:rsid w:val="005A6C2A"/>
    <w:rsid w:val="005B7668"/>
    <w:rsid w:val="005C2905"/>
    <w:rsid w:val="005C7360"/>
    <w:rsid w:val="005D2E56"/>
    <w:rsid w:val="005D7B81"/>
    <w:rsid w:val="005F014D"/>
    <w:rsid w:val="006010ED"/>
    <w:rsid w:val="0067759D"/>
    <w:rsid w:val="00697B0F"/>
    <w:rsid w:val="00702D41"/>
    <w:rsid w:val="00722A17"/>
    <w:rsid w:val="0072602E"/>
    <w:rsid w:val="007414B2"/>
    <w:rsid w:val="00766938"/>
    <w:rsid w:val="0078385B"/>
    <w:rsid w:val="007B682C"/>
    <w:rsid w:val="007E0877"/>
    <w:rsid w:val="007E133C"/>
    <w:rsid w:val="007F245E"/>
    <w:rsid w:val="008766BB"/>
    <w:rsid w:val="008C253A"/>
    <w:rsid w:val="008E1A3E"/>
    <w:rsid w:val="008E2F44"/>
    <w:rsid w:val="008F2F87"/>
    <w:rsid w:val="009419F0"/>
    <w:rsid w:val="00957566"/>
    <w:rsid w:val="00960DBD"/>
    <w:rsid w:val="00985FE8"/>
    <w:rsid w:val="009918B9"/>
    <w:rsid w:val="00995EE7"/>
    <w:rsid w:val="009A71FA"/>
    <w:rsid w:val="009D154F"/>
    <w:rsid w:val="009D30C0"/>
    <w:rsid w:val="00A27CA8"/>
    <w:rsid w:val="00A30EDE"/>
    <w:rsid w:val="00A40B4A"/>
    <w:rsid w:val="00A5260F"/>
    <w:rsid w:val="00AF1F4B"/>
    <w:rsid w:val="00B23742"/>
    <w:rsid w:val="00B72B98"/>
    <w:rsid w:val="00B72D23"/>
    <w:rsid w:val="00BB3A36"/>
    <w:rsid w:val="00BE693C"/>
    <w:rsid w:val="00C40FBA"/>
    <w:rsid w:val="00C6416B"/>
    <w:rsid w:val="00C72DF0"/>
    <w:rsid w:val="00C75A30"/>
    <w:rsid w:val="00CB755B"/>
    <w:rsid w:val="00CE4BBC"/>
    <w:rsid w:val="00D00D54"/>
    <w:rsid w:val="00D30244"/>
    <w:rsid w:val="00D313A7"/>
    <w:rsid w:val="00D35B4B"/>
    <w:rsid w:val="00D616C1"/>
    <w:rsid w:val="00D80554"/>
    <w:rsid w:val="00DC0288"/>
    <w:rsid w:val="00DD5FD1"/>
    <w:rsid w:val="00DE28F3"/>
    <w:rsid w:val="00E166D1"/>
    <w:rsid w:val="00E2059A"/>
    <w:rsid w:val="00E23466"/>
    <w:rsid w:val="00E25C8D"/>
    <w:rsid w:val="00E33569"/>
    <w:rsid w:val="00E567E7"/>
    <w:rsid w:val="00E82CF5"/>
    <w:rsid w:val="00EB4785"/>
    <w:rsid w:val="00EC3188"/>
    <w:rsid w:val="00EC74D4"/>
    <w:rsid w:val="00EF6C17"/>
    <w:rsid w:val="00F131BD"/>
    <w:rsid w:val="00F430BE"/>
    <w:rsid w:val="00F50025"/>
    <w:rsid w:val="00F5246F"/>
    <w:rsid w:val="00F9425D"/>
    <w:rsid w:val="00FA16B4"/>
    <w:rsid w:val="00FD12D0"/>
    <w:rsid w:val="00FE0DC5"/>
    <w:rsid w:val="00FF6D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B7"/>
    <w:rPr>
      <w:color w:val="0000FF" w:themeColor="hyperlink"/>
      <w:u w:val="single"/>
    </w:rPr>
  </w:style>
  <w:style w:type="paragraph" w:styleId="ListParagraph">
    <w:name w:val="List Paragraph"/>
    <w:basedOn w:val="Normal"/>
    <w:uiPriority w:val="34"/>
    <w:qFormat/>
    <w:rsid w:val="00EC74D4"/>
    <w:pPr>
      <w:ind w:left="720"/>
      <w:contextualSpacing/>
    </w:pPr>
  </w:style>
  <w:style w:type="table" w:styleId="TableGrid">
    <w:name w:val="Table Grid"/>
    <w:basedOn w:val="TableNormal"/>
    <w:uiPriority w:val="59"/>
    <w:rsid w:val="001B0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Normal"/>
    <w:uiPriority w:val="62"/>
    <w:rsid w:val="001B0D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3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4B"/>
    <w:rPr>
      <w:rFonts w:ascii="Tahoma" w:hAnsi="Tahoma" w:cs="Tahoma"/>
      <w:sz w:val="16"/>
      <w:szCs w:val="16"/>
    </w:rPr>
  </w:style>
  <w:style w:type="table" w:customStyle="1" w:styleId="Tramemoyenne11">
    <w:name w:val="Trame moyenne 11"/>
    <w:basedOn w:val="TableNormal"/>
    <w:uiPriority w:val="63"/>
    <w:rsid w:val="005F014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BE69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693C"/>
  </w:style>
  <w:style w:type="paragraph" w:styleId="Footer">
    <w:name w:val="footer"/>
    <w:basedOn w:val="Normal"/>
    <w:link w:val="FooterChar"/>
    <w:uiPriority w:val="99"/>
    <w:semiHidden/>
    <w:unhideWhenUsed/>
    <w:rsid w:val="00BE69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E693C"/>
  </w:style>
  <w:style w:type="table" w:customStyle="1" w:styleId="Grilleclaire-Accent11">
    <w:name w:val="Grille claire - Accent 11"/>
    <w:basedOn w:val="TableNormal"/>
    <w:uiPriority w:val="62"/>
    <w:rsid w:val="000927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rameclaire-Accent11">
    <w:name w:val="Trame claire - Accent 11"/>
    <w:basedOn w:val="TableNormal"/>
    <w:uiPriority w:val="60"/>
    <w:rsid w:val="000D11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F6D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dib.ae/ar/aboutdil-mission.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dib.ae/ar/aboutus/mission-and-vision" TargetMode="External"/><Relationship Id="rId2" Type="http://schemas.openxmlformats.org/officeDocument/2006/relationships/styles" Target="styles.xml"/><Relationship Id="rId16" Type="http://schemas.openxmlformats.org/officeDocument/2006/relationships/hyperlink" Target="http://www.alamuae.com/uae/showtopics-659.html" TargetMode="External"/><Relationship Id="rId20" Type="http://schemas.openxmlformats.org/officeDocument/2006/relationships/hyperlink" Target="http://www.argaam.com/portal/companyprofile.aspxcompanyid=2&amp;markete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alamuae.com/uae/showtopics-659.htmi" TargetMode="External"/><Relationship Id="rId10" Type="http://schemas.openxmlformats.org/officeDocument/2006/relationships/chart" Target="charts/chart4.xml"/><Relationship Id="rId19" Type="http://schemas.openxmlformats.org/officeDocument/2006/relationships/hyperlink" Target="http://www.argaam.com/company/companyprofile/marketed/1/companyid/2/"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0"/>
  <c:chart>
    <c:title/>
    <c:plotArea>
      <c:layout/>
      <c:barChart>
        <c:barDir val="col"/>
        <c:grouping val="clustered"/>
        <c:ser>
          <c:idx val="0"/>
          <c:order val="0"/>
          <c:tx>
            <c:strRef>
              <c:f>Feuil1!$B$1</c:f>
              <c:strCache>
                <c:ptCount val="1"/>
                <c:pt idx="0">
                  <c:v>نسبة الاحتياطي القانوني</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15.41</c:v>
                </c:pt>
                <c:pt idx="1">
                  <c:v>14.55</c:v>
                </c:pt>
                <c:pt idx="2">
                  <c:v>16.649999999999999</c:v>
                </c:pt>
                <c:pt idx="3">
                  <c:v>18.84</c:v>
                </c:pt>
                <c:pt idx="4">
                  <c:v>25.67</c:v>
                </c:pt>
              </c:numCache>
            </c:numRef>
          </c:val>
        </c:ser>
        <c:axId val="56522624"/>
        <c:axId val="56524160"/>
      </c:barChart>
      <c:catAx>
        <c:axId val="56522624"/>
        <c:scaling>
          <c:orientation val="minMax"/>
        </c:scaling>
        <c:axPos val="b"/>
        <c:numFmt formatCode="General" sourceLinked="1"/>
        <c:tickLblPos val="nextTo"/>
        <c:crossAx val="56524160"/>
        <c:crosses val="autoZero"/>
        <c:auto val="1"/>
        <c:lblAlgn val="ctr"/>
        <c:lblOffset val="100"/>
      </c:catAx>
      <c:valAx>
        <c:axId val="56524160"/>
        <c:scaling>
          <c:orientation val="minMax"/>
        </c:scaling>
        <c:axPos val="l"/>
        <c:majorGridlines/>
        <c:numFmt formatCode="General" sourceLinked="1"/>
        <c:tickLblPos val="nextTo"/>
        <c:crossAx val="565226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0"/>
  <c:chart>
    <c:title/>
    <c:plotArea>
      <c:layout/>
      <c:barChart>
        <c:barDir val="col"/>
        <c:grouping val="clustered"/>
        <c:ser>
          <c:idx val="0"/>
          <c:order val="0"/>
          <c:tx>
            <c:strRef>
              <c:f>Feuil1!$B$1</c:f>
              <c:strCache>
                <c:ptCount val="1"/>
                <c:pt idx="0">
                  <c:v>نسبة السيولة القانونية</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28.439999999999987</c:v>
                </c:pt>
                <c:pt idx="1">
                  <c:v>27.810000000000031</c:v>
                </c:pt>
                <c:pt idx="2">
                  <c:v>31.6</c:v>
                </c:pt>
                <c:pt idx="3">
                  <c:v>42.720000000000013</c:v>
                </c:pt>
                <c:pt idx="4">
                  <c:v>44.43</c:v>
                </c:pt>
              </c:numCache>
            </c:numRef>
          </c:val>
        </c:ser>
        <c:axId val="29639808"/>
        <c:axId val="29649920"/>
      </c:barChart>
      <c:catAx>
        <c:axId val="29639808"/>
        <c:scaling>
          <c:orientation val="minMax"/>
        </c:scaling>
        <c:axPos val="b"/>
        <c:numFmt formatCode="General" sourceLinked="1"/>
        <c:tickLblPos val="nextTo"/>
        <c:crossAx val="29649920"/>
        <c:crosses val="autoZero"/>
        <c:auto val="1"/>
        <c:lblAlgn val="ctr"/>
        <c:lblOffset val="100"/>
      </c:catAx>
      <c:valAx>
        <c:axId val="29649920"/>
        <c:scaling>
          <c:orientation val="minMax"/>
        </c:scaling>
        <c:axPos val="l"/>
        <c:majorGridlines/>
        <c:numFmt formatCode="General" sourceLinked="1"/>
        <c:tickLblPos val="nextTo"/>
        <c:crossAx val="296398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8"/>
  <c:chart>
    <c:title/>
    <c:plotArea>
      <c:layout/>
      <c:barChart>
        <c:barDir val="col"/>
        <c:grouping val="clustered"/>
        <c:ser>
          <c:idx val="0"/>
          <c:order val="0"/>
          <c:tx>
            <c:strRef>
              <c:f>Feuil1!$B$1</c:f>
              <c:strCache>
                <c:ptCount val="1"/>
                <c:pt idx="0">
                  <c:v>نسبة التداول</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63.83</c:v>
                </c:pt>
                <c:pt idx="1">
                  <c:v>64.760000000000005</c:v>
                </c:pt>
                <c:pt idx="2">
                  <c:v>71.22</c:v>
                </c:pt>
                <c:pt idx="3">
                  <c:v>92.490000000000023</c:v>
                </c:pt>
                <c:pt idx="4">
                  <c:v>78.760000000000005</c:v>
                </c:pt>
              </c:numCache>
            </c:numRef>
          </c:val>
        </c:ser>
        <c:axId val="29662208"/>
        <c:axId val="56705792"/>
      </c:barChart>
      <c:catAx>
        <c:axId val="29662208"/>
        <c:scaling>
          <c:orientation val="minMax"/>
        </c:scaling>
        <c:axPos val="b"/>
        <c:numFmt formatCode="General" sourceLinked="1"/>
        <c:tickLblPos val="nextTo"/>
        <c:crossAx val="56705792"/>
        <c:crosses val="autoZero"/>
        <c:auto val="1"/>
        <c:lblAlgn val="ctr"/>
        <c:lblOffset val="100"/>
      </c:catAx>
      <c:valAx>
        <c:axId val="56705792"/>
        <c:scaling>
          <c:orientation val="minMax"/>
        </c:scaling>
        <c:axPos val="l"/>
        <c:majorGridlines/>
        <c:numFmt formatCode="General" sourceLinked="1"/>
        <c:tickLblPos val="nextTo"/>
        <c:crossAx val="296622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clustered"/>
        <c:ser>
          <c:idx val="0"/>
          <c:order val="0"/>
          <c:tx>
            <c:strRef>
              <c:f>Feuil1!$B$1</c:f>
              <c:strCache>
                <c:ptCount val="1"/>
                <c:pt idx="0">
                  <c:v>نسبة النقدية إلى إجمالي الودائع</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0</c:v>
                </c:pt>
                <c:pt idx="1">
                  <c:v>20.05</c:v>
                </c:pt>
                <c:pt idx="2">
                  <c:v>23.24</c:v>
                </c:pt>
                <c:pt idx="3">
                  <c:v>25.55</c:v>
                </c:pt>
                <c:pt idx="4">
                  <c:v>39.56</c:v>
                </c:pt>
              </c:numCache>
            </c:numRef>
          </c:val>
        </c:ser>
        <c:axId val="56734080"/>
        <c:axId val="56735616"/>
      </c:barChart>
      <c:catAx>
        <c:axId val="56734080"/>
        <c:scaling>
          <c:orientation val="minMax"/>
        </c:scaling>
        <c:axPos val="b"/>
        <c:numFmt formatCode="General" sourceLinked="1"/>
        <c:tickLblPos val="nextTo"/>
        <c:crossAx val="56735616"/>
        <c:crosses val="autoZero"/>
        <c:auto val="1"/>
        <c:lblAlgn val="ctr"/>
        <c:lblOffset val="100"/>
      </c:catAx>
      <c:valAx>
        <c:axId val="56735616"/>
        <c:scaling>
          <c:orientation val="minMax"/>
        </c:scaling>
        <c:axPos val="l"/>
        <c:majorGridlines/>
        <c:numFmt formatCode="General" sourceLinked="1"/>
        <c:tickLblPos val="nextTo"/>
        <c:crossAx val="567340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chart>
    <c:title/>
    <c:plotArea>
      <c:layout/>
      <c:barChart>
        <c:barDir val="col"/>
        <c:grouping val="clustered"/>
        <c:ser>
          <c:idx val="0"/>
          <c:order val="0"/>
          <c:tx>
            <c:strRef>
              <c:f>Feuil1!$B$1</c:f>
              <c:strCache>
                <c:ptCount val="1"/>
                <c:pt idx="0">
                  <c:v>نسبة الأصول السائلة إلى إجمالي الودائع</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21.58</c:v>
                </c:pt>
                <c:pt idx="1">
                  <c:v>20.05</c:v>
                </c:pt>
                <c:pt idx="2">
                  <c:v>23.04</c:v>
                </c:pt>
                <c:pt idx="3">
                  <c:v>25.52</c:v>
                </c:pt>
                <c:pt idx="4">
                  <c:v>39.56</c:v>
                </c:pt>
              </c:numCache>
            </c:numRef>
          </c:val>
        </c:ser>
        <c:axId val="57451648"/>
        <c:axId val="57453184"/>
      </c:barChart>
      <c:catAx>
        <c:axId val="57451648"/>
        <c:scaling>
          <c:orientation val="minMax"/>
        </c:scaling>
        <c:axPos val="b"/>
        <c:numFmt formatCode="General" sourceLinked="1"/>
        <c:tickLblPos val="nextTo"/>
        <c:crossAx val="57453184"/>
        <c:crosses val="autoZero"/>
        <c:auto val="1"/>
        <c:lblAlgn val="ctr"/>
        <c:lblOffset val="100"/>
      </c:catAx>
      <c:valAx>
        <c:axId val="57453184"/>
        <c:scaling>
          <c:orientation val="minMax"/>
        </c:scaling>
        <c:axPos val="l"/>
        <c:majorGridlines/>
        <c:numFmt formatCode="General" sourceLinked="1"/>
        <c:tickLblPos val="nextTo"/>
        <c:crossAx val="574516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0"/>
  <c:chart>
    <c:title>
      <c:tx>
        <c:rich>
          <a:bodyPr/>
          <a:lstStyle/>
          <a:p>
            <a:pPr>
              <a:defRPr/>
            </a:pPr>
            <a:r>
              <a:rPr lang="ar-DZ"/>
              <a:t>نسبة إجمالي الأصول السائلة إلى إجمالي الاصول</a:t>
            </a:r>
          </a:p>
        </c:rich>
      </c:tx>
    </c:title>
    <c:plotArea>
      <c:layout/>
      <c:barChart>
        <c:barDir val="col"/>
        <c:grouping val="clustered"/>
        <c:ser>
          <c:idx val="0"/>
          <c:order val="0"/>
          <c:tx>
            <c:strRef>
              <c:f>Feuil1!$B$1</c:f>
              <c:strCache>
                <c:ptCount val="1"/>
                <c:pt idx="0">
                  <c:v>نسبة إجمالي الأصول السائلة إلى إجمالي الودائع</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16.809999999999999</c:v>
                </c:pt>
                <c:pt idx="1">
                  <c:v>15.09</c:v>
                </c:pt>
                <c:pt idx="2">
                  <c:v>17.66</c:v>
                </c:pt>
                <c:pt idx="3">
                  <c:v>19.55</c:v>
                </c:pt>
                <c:pt idx="4">
                  <c:v>28.53</c:v>
                </c:pt>
              </c:numCache>
            </c:numRef>
          </c:val>
        </c:ser>
        <c:axId val="57481856"/>
        <c:axId val="57483648"/>
      </c:barChart>
      <c:catAx>
        <c:axId val="57481856"/>
        <c:scaling>
          <c:orientation val="minMax"/>
        </c:scaling>
        <c:axPos val="b"/>
        <c:numFmt formatCode="General" sourceLinked="1"/>
        <c:tickLblPos val="nextTo"/>
        <c:crossAx val="57483648"/>
        <c:crosses val="autoZero"/>
        <c:auto val="1"/>
        <c:lblAlgn val="ctr"/>
        <c:lblOffset val="100"/>
      </c:catAx>
      <c:valAx>
        <c:axId val="57483648"/>
        <c:scaling>
          <c:orientation val="minMax"/>
        </c:scaling>
        <c:axPos val="l"/>
        <c:majorGridlines/>
        <c:numFmt formatCode="General" sourceLinked="1"/>
        <c:tickLblPos val="nextTo"/>
        <c:crossAx val="574818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0"/>
  <c:chart>
    <c:title/>
    <c:plotArea>
      <c:layout/>
      <c:barChart>
        <c:barDir val="col"/>
        <c:grouping val="clustered"/>
        <c:ser>
          <c:idx val="0"/>
          <c:order val="0"/>
          <c:tx>
            <c:strRef>
              <c:f>Feuil1!$B$1</c:f>
              <c:strCache>
                <c:ptCount val="1"/>
                <c:pt idx="0">
                  <c:v>نسبة الأصول السائلة إلى إجمالي ارصدة التمويل والاستثمار</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21.71</c:v>
                </c:pt>
                <c:pt idx="1">
                  <c:v>19.110000000000031</c:v>
                </c:pt>
                <c:pt idx="2">
                  <c:v>24.82</c:v>
                </c:pt>
                <c:pt idx="3">
                  <c:v>27.55</c:v>
                </c:pt>
                <c:pt idx="4">
                  <c:v>48.48</c:v>
                </c:pt>
              </c:numCache>
            </c:numRef>
          </c:val>
        </c:ser>
        <c:axId val="57523584"/>
        <c:axId val="57525376"/>
      </c:barChart>
      <c:catAx>
        <c:axId val="57523584"/>
        <c:scaling>
          <c:orientation val="minMax"/>
        </c:scaling>
        <c:axPos val="b"/>
        <c:numFmt formatCode="General" sourceLinked="1"/>
        <c:tickLblPos val="nextTo"/>
        <c:crossAx val="57525376"/>
        <c:crosses val="autoZero"/>
        <c:auto val="1"/>
        <c:lblAlgn val="ctr"/>
        <c:lblOffset val="100"/>
      </c:catAx>
      <c:valAx>
        <c:axId val="57525376"/>
        <c:scaling>
          <c:orientation val="minMax"/>
        </c:scaling>
        <c:axPos val="l"/>
        <c:majorGridlines/>
        <c:numFmt formatCode="General" sourceLinked="1"/>
        <c:tickLblPos val="nextTo"/>
        <c:crossAx val="5752358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0"/>
  <c:chart>
    <c:title/>
    <c:plotArea>
      <c:layout/>
      <c:barChart>
        <c:barDir val="col"/>
        <c:grouping val="clustered"/>
        <c:ser>
          <c:idx val="0"/>
          <c:order val="0"/>
          <c:tx>
            <c:strRef>
              <c:f>Feuil1!$B$1</c:f>
              <c:strCache>
                <c:ptCount val="1"/>
                <c:pt idx="0">
                  <c:v>نسبة الأصول السائلة/إجمالي الالتزامات</c:v>
                </c:pt>
              </c:strCache>
            </c:strRef>
          </c:tx>
          <c:cat>
            <c:numRef>
              <c:f>Feuil1!$A$2:$A$6</c:f>
              <c:numCache>
                <c:formatCode>General</c:formatCode>
                <c:ptCount val="5"/>
                <c:pt idx="0">
                  <c:v>2009</c:v>
                </c:pt>
                <c:pt idx="1">
                  <c:v>2010</c:v>
                </c:pt>
                <c:pt idx="2">
                  <c:v>2011</c:v>
                </c:pt>
                <c:pt idx="3">
                  <c:v>2012</c:v>
                </c:pt>
                <c:pt idx="4">
                  <c:v>2013</c:v>
                </c:pt>
              </c:numCache>
            </c:numRef>
          </c:cat>
          <c:val>
            <c:numRef>
              <c:f>Feuil1!$B$2:$B$6</c:f>
              <c:numCache>
                <c:formatCode>General</c:formatCode>
                <c:ptCount val="5"/>
                <c:pt idx="0">
                  <c:v>18.809999999999999</c:v>
                </c:pt>
                <c:pt idx="1">
                  <c:v>17.09</c:v>
                </c:pt>
                <c:pt idx="2">
                  <c:v>19.89</c:v>
                </c:pt>
                <c:pt idx="3">
                  <c:v>21.979999999999986</c:v>
                </c:pt>
                <c:pt idx="4">
                  <c:v>33.340000000000003</c:v>
                </c:pt>
              </c:numCache>
            </c:numRef>
          </c:val>
        </c:ser>
        <c:axId val="57635584"/>
        <c:axId val="57637120"/>
      </c:barChart>
      <c:catAx>
        <c:axId val="57635584"/>
        <c:scaling>
          <c:orientation val="minMax"/>
        </c:scaling>
        <c:axPos val="b"/>
        <c:numFmt formatCode="General" sourceLinked="1"/>
        <c:tickLblPos val="nextTo"/>
        <c:crossAx val="57637120"/>
        <c:crosses val="autoZero"/>
        <c:auto val="1"/>
        <c:lblAlgn val="ctr"/>
        <c:lblOffset val="100"/>
      </c:catAx>
      <c:valAx>
        <c:axId val="57637120"/>
        <c:scaling>
          <c:orientation val="minMax"/>
        </c:scaling>
        <c:axPos val="l"/>
        <c:majorGridlines/>
        <c:numFmt formatCode="General" sourceLinked="1"/>
        <c:tickLblPos val="nextTo"/>
        <c:crossAx val="57635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5434</Words>
  <Characters>30976</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maysoon</cp:lastModifiedBy>
  <cp:revision>2</cp:revision>
  <dcterms:created xsi:type="dcterms:W3CDTF">2015-07-25T13:10:00Z</dcterms:created>
  <dcterms:modified xsi:type="dcterms:W3CDTF">2015-07-25T13:10:00Z</dcterms:modified>
</cp:coreProperties>
</file>