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4A" w:rsidRDefault="00C1134A" w:rsidP="00D707B7">
      <w:pPr>
        <w:jc w:val="center"/>
        <w:rPr>
          <w:rFonts w:asciiTheme="majorBidi" w:hAnsiTheme="majorBidi" w:cstheme="majorBidi"/>
          <w:b/>
          <w:bCs/>
          <w:sz w:val="28"/>
          <w:szCs w:val="28"/>
        </w:rPr>
      </w:pPr>
    </w:p>
    <w:p w:rsidR="00C1134A" w:rsidRDefault="00DE1E1B" w:rsidP="00D707B7">
      <w:pPr>
        <w:jc w:val="center"/>
        <w:rPr>
          <w:rFonts w:cs="Andalus"/>
          <w:b/>
          <w:bCs/>
        </w:rPr>
      </w:pPr>
      <w:r>
        <w:rPr>
          <w:rFonts w:cs="Andalus"/>
          <w:b/>
          <w:bCs/>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704975" cy="16097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04975" cy="1609725"/>
                    </a:xfrm>
                    <a:prstGeom prst="rect">
                      <a:avLst/>
                    </a:prstGeom>
                    <a:noFill/>
                    <a:ln w="9525">
                      <a:noFill/>
                      <a:miter lim="800000"/>
                      <a:headEnd/>
                      <a:tailEnd/>
                    </a:ln>
                  </pic:spPr>
                </pic:pic>
              </a:graphicData>
            </a:graphic>
          </wp:anchor>
        </w:drawing>
      </w:r>
    </w:p>
    <w:p w:rsidR="00C1134A" w:rsidRDefault="00C1134A" w:rsidP="00D707B7">
      <w:pPr>
        <w:rPr>
          <w:rFonts w:cs="Andalus"/>
          <w:b/>
          <w:bCs/>
        </w:rPr>
      </w:pPr>
    </w:p>
    <w:p w:rsidR="00C1134A" w:rsidRDefault="00C1134A" w:rsidP="00D707B7">
      <w:pPr>
        <w:rPr>
          <w:rFonts w:cs="Andalus"/>
          <w:b/>
          <w:bCs/>
        </w:rPr>
      </w:pPr>
    </w:p>
    <w:p w:rsidR="00C1134A" w:rsidRDefault="00C1134A" w:rsidP="00D707B7">
      <w:pPr>
        <w:rPr>
          <w:rFonts w:cs="Andalus"/>
          <w:b/>
          <w:bCs/>
        </w:rPr>
      </w:pPr>
    </w:p>
    <w:p w:rsidR="00DE1E1B" w:rsidRDefault="00DE1E1B" w:rsidP="00D707B7"/>
    <w:p w:rsidR="00C1134A" w:rsidRDefault="00C1134A" w:rsidP="00D707B7">
      <w:pPr>
        <w:jc w:val="center"/>
      </w:pPr>
    </w:p>
    <w:p w:rsidR="00C1134A" w:rsidRDefault="00C1134A" w:rsidP="00D707B7"/>
    <w:p w:rsidR="00C1134A" w:rsidRDefault="00C1134A" w:rsidP="00D707B7"/>
    <w:p w:rsidR="00C1134A" w:rsidRDefault="00C1134A" w:rsidP="00D707B7"/>
    <w:p w:rsidR="00C1134A" w:rsidRDefault="00C1134A" w:rsidP="00D707B7"/>
    <w:p w:rsidR="00C1134A" w:rsidRPr="00F106D5" w:rsidRDefault="00C1134A" w:rsidP="0097362C">
      <w:pPr>
        <w:rPr>
          <w:sz w:val="32"/>
          <w:szCs w:val="32"/>
        </w:rPr>
      </w:pPr>
    </w:p>
    <w:p w:rsidR="00C1134A" w:rsidRDefault="00C1134A" w:rsidP="00D707B7">
      <w:pPr>
        <w:jc w:val="center"/>
        <w:rPr>
          <w:rFonts w:asciiTheme="majorBidi" w:hAnsiTheme="majorBidi" w:cstheme="majorBidi"/>
          <w:b/>
          <w:bCs/>
          <w:sz w:val="28"/>
          <w:szCs w:val="28"/>
        </w:rPr>
      </w:pPr>
    </w:p>
    <w:p w:rsidR="00C1134A" w:rsidRPr="00C1134A" w:rsidRDefault="00C1134A" w:rsidP="00D707B7">
      <w:pPr>
        <w:jc w:val="center"/>
        <w:rPr>
          <w:rFonts w:asciiTheme="majorBidi" w:hAnsiTheme="majorBidi" w:cstheme="majorBidi"/>
          <w:b/>
          <w:bCs/>
          <w:sz w:val="32"/>
          <w:szCs w:val="32"/>
        </w:rPr>
      </w:pPr>
    </w:p>
    <w:p w:rsidR="006754C6" w:rsidRDefault="00EF4AE9" w:rsidP="00D707B7">
      <w:pPr>
        <w:jc w:val="center"/>
        <w:rPr>
          <w:rFonts w:asciiTheme="majorBidi" w:hAnsiTheme="majorBidi" w:cstheme="majorBidi"/>
          <w:sz w:val="32"/>
          <w:szCs w:val="32"/>
        </w:rPr>
      </w:pPr>
      <w:r>
        <w:rPr>
          <w:rFonts w:asciiTheme="majorBidi" w:hAnsiTheme="majorBidi" w:cstheme="majorBidi"/>
          <w:b/>
          <w:bCs/>
          <w:sz w:val="32"/>
          <w:szCs w:val="32"/>
        </w:rPr>
        <w:t>GOLD, FIAT MONEY AND PRICE STABILITY</w:t>
      </w:r>
    </w:p>
    <w:p w:rsidR="003D5ACF" w:rsidRPr="003D5ACF" w:rsidRDefault="003D5ACF" w:rsidP="00D707B7">
      <w:pPr>
        <w:jc w:val="center"/>
        <w:rPr>
          <w:rFonts w:asciiTheme="majorBidi" w:hAnsiTheme="majorBidi" w:cstheme="majorBidi"/>
          <w:b/>
          <w:bCs/>
          <w:sz w:val="32"/>
          <w:szCs w:val="32"/>
        </w:rPr>
      </w:pPr>
      <w:r w:rsidRPr="003D5ACF">
        <w:rPr>
          <w:rFonts w:asciiTheme="majorBidi" w:hAnsiTheme="majorBidi" w:cstheme="majorBidi"/>
          <w:b/>
          <w:bCs/>
          <w:sz w:val="32"/>
          <w:szCs w:val="32"/>
        </w:rPr>
        <w:t>IN FOUR ADVANCED COUNTRIES</w:t>
      </w:r>
    </w:p>
    <w:p w:rsidR="00DC575C" w:rsidRDefault="00DC575C" w:rsidP="00DE1E1B">
      <w:pPr>
        <w:rPr>
          <w:rFonts w:asciiTheme="majorBidi" w:hAnsiTheme="majorBidi" w:cstheme="majorBidi"/>
          <w:sz w:val="32"/>
          <w:szCs w:val="32"/>
        </w:rPr>
      </w:pPr>
    </w:p>
    <w:p w:rsidR="00DC575C" w:rsidRDefault="00DC575C" w:rsidP="003D5ACF">
      <w:pPr>
        <w:rPr>
          <w:rFonts w:asciiTheme="majorBidi" w:hAnsiTheme="majorBidi" w:cstheme="majorBidi"/>
          <w:sz w:val="32"/>
          <w:szCs w:val="32"/>
        </w:rPr>
      </w:pPr>
    </w:p>
    <w:p w:rsidR="00DC575C" w:rsidRDefault="00DC575C" w:rsidP="00D707B7">
      <w:pPr>
        <w:jc w:val="center"/>
        <w:rPr>
          <w:rFonts w:asciiTheme="majorBidi" w:hAnsiTheme="majorBidi" w:cstheme="majorBidi"/>
          <w:sz w:val="32"/>
          <w:szCs w:val="32"/>
        </w:rPr>
      </w:pPr>
    </w:p>
    <w:p w:rsidR="00DC575C" w:rsidRDefault="00DC575C" w:rsidP="00D707B7">
      <w:pPr>
        <w:jc w:val="right"/>
      </w:pPr>
    </w:p>
    <w:p w:rsidR="00DC575C" w:rsidRPr="003D5ACF" w:rsidRDefault="00DC575C" w:rsidP="00D707B7">
      <w:pPr>
        <w:autoSpaceDE w:val="0"/>
        <w:autoSpaceDN w:val="0"/>
        <w:adjustRightInd w:val="0"/>
        <w:jc w:val="center"/>
        <w:rPr>
          <w:b/>
          <w:bCs/>
          <w:sz w:val="28"/>
          <w:szCs w:val="28"/>
          <w:lang w:bidi="ar-SY"/>
        </w:rPr>
      </w:pPr>
      <w:r>
        <w:t xml:space="preserve">  </w:t>
      </w:r>
      <w:r w:rsidR="00EF4AE9" w:rsidRPr="003D5ACF">
        <w:rPr>
          <w:b/>
          <w:bCs/>
          <w:sz w:val="28"/>
          <w:szCs w:val="28"/>
        </w:rPr>
        <w:t>Superv</w:t>
      </w:r>
      <w:r w:rsidRPr="003D5ACF">
        <w:rPr>
          <w:b/>
          <w:bCs/>
          <w:sz w:val="28"/>
          <w:szCs w:val="28"/>
        </w:rPr>
        <w:t>sed by</w:t>
      </w:r>
      <w:r w:rsidRPr="003D5ACF">
        <w:rPr>
          <w:b/>
          <w:bCs/>
          <w:sz w:val="28"/>
          <w:szCs w:val="28"/>
          <w:lang w:bidi="ar-SY"/>
        </w:rPr>
        <w:t>:</w:t>
      </w:r>
    </w:p>
    <w:p w:rsidR="00DC575C" w:rsidRPr="00EF6EAC" w:rsidRDefault="00DC575C" w:rsidP="00D707B7">
      <w:pPr>
        <w:jc w:val="center"/>
        <w:rPr>
          <w:b/>
          <w:bCs/>
          <w:sz w:val="28"/>
          <w:szCs w:val="28"/>
          <w:lang w:bidi="ar-SY"/>
        </w:rPr>
      </w:pPr>
      <w:r>
        <w:rPr>
          <w:b/>
          <w:bCs/>
          <w:sz w:val="28"/>
          <w:szCs w:val="28"/>
          <w:lang w:bidi="ar-SY"/>
        </w:rPr>
        <w:br/>
      </w:r>
      <w:r>
        <w:rPr>
          <w:b/>
          <w:bCs/>
          <w:sz w:val="28"/>
          <w:szCs w:val="28"/>
          <w:lang w:bidi="ar-SY"/>
        </w:rPr>
        <w:br/>
      </w:r>
      <w:r w:rsidRPr="00EF6EAC">
        <w:rPr>
          <w:b/>
          <w:bCs/>
          <w:sz w:val="28"/>
          <w:szCs w:val="28"/>
          <w:lang w:bidi="ar-SY"/>
        </w:rPr>
        <w:t xml:space="preserve"> Dr. Hatem Altaee                             </w:t>
      </w:r>
      <w:r>
        <w:rPr>
          <w:b/>
          <w:bCs/>
          <w:sz w:val="28"/>
          <w:szCs w:val="28"/>
          <w:lang w:bidi="ar-SY"/>
        </w:rPr>
        <w:t xml:space="preserve">                          </w:t>
      </w:r>
      <w:r w:rsidRPr="00EF6EAC">
        <w:rPr>
          <w:b/>
          <w:bCs/>
          <w:sz w:val="28"/>
          <w:szCs w:val="28"/>
          <w:lang w:bidi="ar-SY"/>
        </w:rPr>
        <w:t>Dr. Khaled Jaafari</w:t>
      </w:r>
    </w:p>
    <w:p w:rsidR="00DC575C" w:rsidRDefault="00DC575C" w:rsidP="00DE1E1B"/>
    <w:p w:rsidR="00DC575C" w:rsidRDefault="00DC575C" w:rsidP="00D707B7">
      <w:pPr>
        <w:jc w:val="right"/>
      </w:pPr>
      <w:r>
        <w:br/>
      </w:r>
    </w:p>
    <w:p w:rsidR="00DC575C" w:rsidRPr="00B210BE" w:rsidRDefault="00DC575C" w:rsidP="00D707B7">
      <w:pPr>
        <w:jc w:val="center"/>
        <w:rPr>
          <w:b/>
          <w:bCs/>
        </w:rPr>
      </w:pPr>
      <w:r w:rsidRPr="00B210BE">
        <w:rPr>
          <w:b/>
          <w:bCs/>
        </w:rPr>
        <w:t>By</w:t>
      </w:r>
    </w:p>
    <w:p w:rsidR="00DC575C" w:rsidRDefault="00DC575C" w:rsidP="00D707B7">
      <w:pPr>
        <w:jc w:val="right"/>
      </w:pPr>
      <w:r>
        <w:t xml:space="preserve">                                                                        </w:t>
      </w:r>
    </w:p>
    <w:p w:rsidR="00DC575C" w:rsidRDefault="00DC575C" w:rsidP="00D707B7">
      <w:pPr>
        <w:jc w:val="center"/>
        <w:rPr>
          <w:b/>
          <w:bCs/>
          <w:sz w:val="28"/>
          <w:szCs w:val="28"/>
        </w:rPr>
      </w:pPr>
      <w:r>
        <w:rPr>
          <w:b/>
          <w:bCs/>
          <w:sz w:val="28"/>
          <w:szCs w:val="28"/>
        </w:rPr>
        <w:t>Alaa Salhani</w:t>
      </w:r>
    </w:p>
    <w:p w:rsidR="00DC575C" w:rsidRDefault="00DC575C" w:rsidP="00D707B7">
      <w:pPr>
        <w:jc w:val="center"/>
        <w:rPr>
          <w:b/>
          <w:bCs/>
          <w:sz w:val="28"/>
          <w:szCs w:val="28"/>
        </w:rPr>
      </w:pPr>
    </w:p>
    <w:p w:rsidR="00DE1E1B" w:rsidRDefault="00DE1E1B" w:rsidP="00DE1E1B">
      <w:pPr>
        <w:rPr>
          <w:b/>
          <w:bCs/>
          <w:sz w:val="28"/>
          <w:szCs w:val="28"/>
        </w:rPr>
      </w:pPr>
    </w:p>
    <w:p w:rsidR="00DE1E1B" w:rsidRDefault="00DE1E1B" w:rsidP="00DE1E1B">
      <w:pPr>
        <w:rPr>
          <w:b/>
          <w:bCs/>
          <w:sz w:val="28"/>
          <w:szCs w:val="28"/>
        </w:rPr>
      </w:pPr>
    </w:p>
    <w:p w:rsidR="00DE1E1B" w:rsidRDefault="00DE1E1B" w:rsidP="00DE1E1B">
      <w:pPr>
        <w:rPr>
          <w:b/>
          <w:bCs/>
          <w:sz w:val="28"/>
          <w:szCs w:val="28"/>
        </w:rPr>
      </w:pPr>
    </w:p>
    <w:p w:rsidR="00DE1E1B" w:rsidRDefault="00DE1E1B" w:rsidP="00DE1E1B">
      <w:pPr>
        <w:rPr>
          <w:rFonts w:cs="Andalus"/>
          <w:b/>
          <w:bCs/>
        </w:rPr>
      </w:pPr>
    </w:p>
    <w:p w:rsidR="00DE1E1B" w:rsidRPr="00CF507B" w:rsidRDefault="00DE1E1B" w:rsidP="00DE1E1B">
      <w:pPr>
        <w:jc w:val="center"/>
        <w:rPr>
          <w:rFonts w:cs="Andalus"/>
          <w:b/>
          <w:bCs/>
        </w:rPr>
      </w:pPr>
      <w:r w:rsidRPr="00CF507B">
        <w:rPr>
          <w:rFonts w:cs="Andalus"/>
          <w:b/>
          <w:bCs/>
        </w:rPr>
        <w:t xml:space="preserve">The Arab </w:t>
      </w:r>
      <w:smartTag w:uri="urn:schemas-microsoft-com:office:smarttags" w:element="PlaceType">
        <w:smartTag w:uri="urn:schemas-microsoft-com:office:smarttags" w:element="place">
          <w:r w:rsidRPr="00CF507B">
            <w:rPr>
              <w:rFonts w:cs="Andalus"/>
              <w:b/>
              <w:bCs/>
            </w:rPr>
            <w:t>Academy</w:t>
          </w:r>
        </w:smartTag>
        <w:r w:rsidRPr="00CF507B">
          <w:rPr>
            <w:rFonts w:cs="Andalus"/>
            <w:b/>
            <w:bCs/>
          </w:rPr>
          <w:t xml:space="preserve"> of </w:t>
        </w:r>
        <w:smartTag w:uri="urn:schemas-microsoft-com:office:smarttags" w:element="country-region">
          <w:r w:rsidRPr="00CF507B">
            <w:rPr>
              <w:rFonts w:cs="Andalus"/>
              <w:b/>
              <w:bCs/>
            </w:rPr>
            <w:t>Banking</w:t>
          </w:r>
        </w:smartTag>
      </w:smartTag>
      <w:r w:rsidRPr="00CF507B">
        <w:rPr>
          <w:rFonts w:cs="Andalus"/>
          <w:b/>
          <w:bCs/>
        </w:rPr>
        <w:t xml:space="preserve"> &amp; Financial Sciences</w:t>
      </w:r>
    </w:p>
    <w:p w:rsidR="00DE1E1B" w:rsidRDefault="00DE1E1B" w:rsidP="00DE1E1B">
      <w:pPr>
        <w:jc w:val="center"/>
      </w:pPr>
    </w:p>
    <w:p w:rsidR="00DE1E1B" w:rsidRDefault="00DE1E1B" w:rsidP="00990A63">
      <w:pPr>
        <w:jc w:val="center"/>
        <w:rPr>
          <w:b/>
          <w:bCs/>
        </w:rPr>
      </w:pPr>
      <w:r w:rsidRPr="00DE1E1B">
        <w:rPr>
          <w:b/>
          <w:bCs/>
        </w:rPr>
        <w:t xml:space="preserve">Damascus </w:t>
      </w:r>
      <w:r>
        <w:rPr>
          <w:b/>
          <w:bCs/>
        </w:rPr>
        <w:t>–</w:t>
      </w:r>
      <w:r w:rsidRPr="00DE1E1B">
        <w:rPr>
          <w:b/>
          <w:bCs/>
        </w:rPr>
        <w:t xml:space="preserve"> Syria</w:t>
      </w:r>
    </w:p>
    <w:p w:rsidR="00DE1E1B" w:rsidRPr="00DE1E1B" w:rsidRDefault="00DE1E1B" w:rsidP="00990A63">
      <w:pPr>
        <w:jc w:val="center"/>
        <w:rPr>
          <w:b/>
          <w:bCs/>
        </w:rPr>
      </w:pPr>
    </w:p>
    <w:p w:rsidR="00DE1E1B" w:rsidRPr="00990A63" w:rsidRDefault="00DE1E1B" w:rsidP="00990A63">
      <w:pPr>
        <w:jc w:val="center"/>
        <w:rPr>
          <w:b/>
          <w:bCs/>
          <w:sz w:val="28"/>
          <w:szCs w:val="28"/>
        </w:rPr>
      </w:pPr>
      <w:r>
        <w:rPr>
          <w:b/>
          <w:bCs/>
          <w:sz w:val="28"/>
          <w:szCs w:val="28"/>
        </w:rPr>
        <w:t>2010</w:t>
      </w:r>
    </w:p>
    <w:p w:rsidR="00DE1E1B" w:rsidRDefault="00DE1E1B" w:rsidP="00DC7919">
      <w:pPr>
        <w:autoSpaceDE w:val="0"/>
        <w:autoSpaceDN w:val="0"/>
        <w:adjustRightInd w:val="0"/>
        <w:spacing w:line="480" w:lineRule="auto"/>
        <w:rPr>
          <w:rFonts w:asciiTheme="majorBidi" w:hAnsiTheme="majorBidi" w:cstheme="majorBidi"/>
          <w:sz w:val="32"/>
          <w:szCs w:val="32"/>
        </w:rPr>
      </w:pPr>
    </w:p>
    <w:p w:rsidR="00DE1E1B" w:rsidRDefault="00DE1E1B" w:rsidP="00DC7919">
      <w:pPr>
        <w:autoSpaceDE w:val="0"/>
        <w:autoSpaceDN w:val="0"/>
        <w:adjustRightInd w:val="0"/>
        <w:spacing w:line="480" w:lineRule="auto"/>
        <w:rPr>
          <w:rFonts w:asciiTheme="majorBidi" w:hAnsiTheme="majorBidi" w:cstheme="majorBidi"/>
          <w:sz w:val="32"/>
          <w:szCs w:val="32"/>
        </w:rPr>
      </w:pPr>
    </w:p>
    <w:p w:rsidR="00C57E2F" w:rsidRPr="00704AD8" w:rsidRDefault="00C57E2F" w:rsidP="00C57E2F">
      <w:pPr>
        <w:spacing w:after="200" w:line="276" w:lineRule="auto"/>
        <w:jc w:val="center"/>
        <w:rPr>
          <w:rFonts w:asciiTheme="majorBidi" w:hAnsiTheme="majorBidi" w:cstheme="majorBidi"/>
          <w:b/>
          <w:bCs/>
        </w:rPr>
      </w:pPr>
      <w:r w:rsidRPr="00704AD8">
        <w:rPr>
          <w:rFonts w:asciiTheme="majorBidi" w:hAnsiTheme="majorBidi" w:cstheme="majorBidi"/>
          <w:b/>
          <w:bCs/>
        </w:rPr>
        <w:lastRenderedPageBreak/>
        <w:t>Abstract</w:t>
      </w:r>
    </w:p>
    <w:p w:rsidR="007D47F3" w:rsidRDefault="004F66F4" w:rsidP="00FD4134">
      <w:pPr>
        <w:spacing w:after="200" w:line="480" w:lineRule="auto"/>
        <w:rPr>
          <w:rFonts w:asciiTheme="majorBidi" w:hAnsiTheme="majorBidi" w:cstheme="majorBidi"/>
        </w:rPr>
      </w:pPr>
      <w:r>
        <w:rPr>
          <w:rFonts w:asciiTheme="majorBidi" w:hAnsiTheme="majorBidi" w:cstheme="majorBidi"/>
        </w:rPr>
        <w:t>This study examined the</w:t>
      </w:r>
      <w:r w:rsidR="00C80BEB">
        <w:rPr>
          <w:rFonts w:asciiTheme="majorBidi" w:hAnsiTheme="majorBidi" w:cstheme="majorBidi"/>
        </w:rPr>
        <w:t xml:space="preserve"> ability</w:t>
      </w:r>
      <w:r w:rsidR="00C676ED">
        <w:rPr>
          <w:rFonts w:asciiTheme="majorBidi" w:hAnsiTheme="majorBidi" w:cstheme="majorBidi"/>
        </w:rPr>
        <w:t xml:space="preserve"> of gold and fiat money </w:t>
      </w:r>
      <w:r w:rsidR="00C80BEB">
        <w:rPr>
          <w:rFonts w:asciiTheme="majorBidi" w:hAnsiTheme="majorBidi" w:cstheme="majorBidi"/>
        </w:rPr>
        <w:t>to sta</w:t>
      </w:r>
      <w:r w:rsidR="00C676ED">
        <w:rPr>
          <w:rFonts w:asciiTheme="majorBidi" w:hAnsiTheme="majorBidi" w:cstheme="majorBidi"/>
        </w:rPr>
        <w:t>bilize the purchasing power</w:t>
      </w:r>
      <w:r w:rsidR="003E7B1B">
        <w:rPr>
          <w:rFonts w:asciiTheme="majorBidi" w:hAnsiTheme="majorBidi" w:cstheme="majorBidi"/>
        </w:rPr>
        <w:t xml:space="preserve"> </w:t>
      </w:r>
      <w:r w:rsidR="00C80BEB">
        <w:rPr>
          <w:rFonts w:asciiTheme="majorBidi" w:hAnsiTheme="majorBidi" w:cstheme="majorBidi"/>
        </w:rPr>
        <w:t>a</w:t>
      </w:r>
      <w:r w:rsidR="006C3F45">
        <w:rPr>
          <w:rFonts w:asciiTheme="majorBidi" w:hAnsiTheme="majorBidi" w:cstheme="majorBidi"/>
        </w:rPr>
        <w:t>fter the 1971 when the Bretton W</w:t>
      </w:r>
      <w:r w:rsidR="00C80BEB">
        <w:rPr>
          <w:rFonts w:asciiTheme="majorBidi" w:hAnsiTheme="majorBidi" w:cstheme="majorBidi"/>
        </w:rPr>
        <w:t xml:space="preserve">oods </w:t>
      </w:r>
      <w:r w:rsidR="00FD4134">
        <w:rPr>
          <w:rFonts w:asciiTheme="majorBidi" w:hAnsiTheme="majorBidi" w:cstheme="majorBidi"/>
        </w:rPr>
        <w:t>A</w:t>
      </w:r>
      <w:r w:rsidR="00C80BEB">
        <w:rPr>
          <w:rFonts w:asciiTheme="majorBidi" w:hAnsiTheme="majorBidi" w:cstheme="majorBidi"/>
        </w:rPr>
        <w:t xml:space="preserve">greement </w:t>
      </w:r>
      <w:r w:rsidR="00A23D66">
        <w:rPr>
          <w:rFonts w:asciiTheme="majorBidi" w:hAnsiTheme="majorBidi" w:cstheme="majorBidi"/>
        </w:rPr>
        <w:t>ended. The</w:t>
      </w:r>
      <w:r w:rsidR="00C80BEB">
        <w:rPr>
          <w:rFonts w:asciiTheme="majorBidi" w:hAnsiTheme="majorBidi" w:cstheme="majorBidi"/>
        </w:rPr>
        <w:t xml:space="preserve"> research examined </w:t>
      </w:r>
      <w:r w:rsidR="007D47F3">
        <w:rPr>
          <w:rFonts w:asciiTheme="majorBidi" w:hAnsiTheme="majorBidi" w:cstheme="majorBidi"/>
        </w:rPr>
        <w:t>these four countries cu</w:t>
      </w:r>
      <w:r w:rsidR="00EF4AE9">
        <w:rPr>
          <w:rFonts w:asciiTheme="majorBidi" w:hAnsiTheme="majorBidi" w:cstheme="majorBidi"/>
        </w:rPr>
        <w:t>rrencies (US dollar, GBP, Yen, a</w:t>
      </w:r>
      <w:r w:rsidR="00A23D66">
        <w:rPr>
          <w:rFonts w:asciiTheme="majorBidi" w:hAnsiTheme="majorBidi" w:cstheme="majorBidi"/>
        </w:rPr>
        <w:t xml:space="preserve">nd </w:t>
      </w:r>
      <w:r w:rsidR="007D47F3">
        <w:rPr>
          <w:rFonts w:asciiTheme="majorBidi" w:hAnsiTheme="majorBidi" w:cstheme="majorBidi"/>
        </w:rPr>
        <w:t xml:space="preserve">Australian dollar) using descriptive </w:t>
      </w:r>
      <w:r w:rsidR="00140859">
        <w:rPr>
          <w:rFonts w:asciiTheme="majorBidi" w:hAnsiTheme="majorBidi" w:cstheme="majorBidi"/>
        </w:rPr>
        <w:t>statistic, and yearly data from 1971 to 2009.</w:t>
      </w:r>
      <w:r w:rsidR="00A23D66">
        <w:rPr>
          <w:rFonts w:asciiTheme="majorBidi" w:hAnsiTheme="majorBidi" w:cstheme="majorBidi"/>
        </w:rPr>
        <w:t xml:space="preserve"> The</w:t>
      </w:r>
      <w:r w:rsidR="007D47F3">
        <w:rPr>
          <w:rFonts w:asciiTheme="majorBidi" w:hAnsiTheme="majorBidi" w:cstheme="majorBidi"/>
        </w:rPr>
        <w:t xml:space="preserve"> result reveals that the gold still has the ability to stabilize the purchasing power more than the fiat money in the long run, while the fiat money still has the ability to stabilize the purchasing more than the gold in the short </w:t>
      </w:r>
      <w:r w:rsidR="00A23D66">
        <w:rPr>
          <w:rFonts w:asciiTheme="majorBidi" w:hAnsiTheme="majorBidi" w:cstheme="majorBidi"/>
        </w:rPr>
        <w:t>run. Otherwise</w:t>
      </w:r>
      <w:r w:rsidR="007D47F3">
        <w:rPr>
          <w:rFonts w:asciiTheme="majorBidi" w:hAnsiTheme="majorBidi" w:cstheme="majorBidi"/>
        </w:rPr>
        <w:t xml:space="preserve"> the general indicator of price stability </w:t>
      </w:r>
      <w:r w:rsidR="00A23D66">
        <w:rPr>
          <w:rFonts w:asciiTheme="majorBidi" w:hAnsiTheme="majorBidi" w:cstheme="majorBidi"/>
        </w:rPr>
        <w:t xml:space="preserve">reveals that the (US dollar, GBP, and </w:t>
      </w:r>
      <w:r w:rsidR="008C1330">
        <w:rPr>
          <w:rFonts w:asciiTheme="majorBidi" w:hAnsiTheme="majorBidi" w:cstheme="majorBidi"/>
        </w:rPr>
        <w:t>Australian dollar) have the ability to sta</w:t>
      </w:r>
      <w:r w:rsidR="00CB4FA2">
        <w:rPr>
          <w:rFonts w:asciiTheme="majorBidi" w:hAnsiTheme="majorBidi" w:cstheme="majorBidi"/>
        </w:rPr>
        <w:t>bilize the purchasing power less</w:t>
      </w:r>
      <w:r w:rsidR="008C1330">
        <w:rPr>
          <w:rFonts w:asciiTheme="majorBidi" w:hAnsiTheme="majorBidi" w:cstheme="majorBidi"/>
        </w:rPr>
        <w:t xml:space="preserve"> than the gold, while the Yen reveals the opposite.</w:t>
      </w:r>
      <w:r w:rsidR="007D47F3">
        <w:rPr>
          <w:rFonts w:asciiTheme="majorBidi" w:hAnsiTheme="majorBidi" w:cstheme="majorBidi"/>
        </w:rPr>
        <w:t xml:space="preserve"> </w:t>
      </w:r>
    </w:p>
    <w:p w:rsidR="00C80BEB" w:rsidRDefault="00C80BEB" w:rsidP="00C57E2F">
      <w:pPr>
        <w:spacing w:after="200" w:line="276" w:lineRule="auto"/>
        <w:rPr>
          <w:rFonts w:asciiTheme="majorBidi" w:hAnsiTheme="majorBidi" w:cstheme="majorBidi"/>
        </w:rPr>
      </w:pPr>
      <w:r>
        <w:rPr>
          <w:rFonts w:asciiTheme="majorBidi" w:hAnsiTheme="majorBidi" w:cstheme="majorBidi"/>
        </w:rPr>
        <w:t xml:space="preserve"> </w:t>
      </w:r>
    </w:p>
    <w:p w:rsidR="00C57E2F" w:rsidRPr="00C57E2F" w:rsidRDefault="00C57E2F" w:rsidP="00C57E2F">
      <w:pPr>
        <w:spacing w:after="200" w:line="276" w:lineRule="auto"/>
        <w:rPr>
          <w:rFonts w:asciiTheme="majorBidi" w:hAnsiTheme="majorBidi" w:cstheme="majorBidi"/>
          <w:b/>
          <w:bCs/>
          <w:u w:val="single"/>
        </w:rPr>
      </w:pPr>
      <w:r w:rsidRPr="00C57E2F">
        <w:rPr>
          <w:rFonts w:asciiTheme="majorBidi" w:hAnsiTheme="majorBidi" w:cstheme="majorBidi"/>
          <w:b/>
          <w:bCs/>
          <w:u w:val="single"/>
        </w:rPr>
        <w:br w:type="page"/>
      </w:r>
    </w:p>
    <w:p w:rsidR="001D0AA1" w:rsidRDefault="00962901" w:rsidP="00DC7919">
      <w:pPr>
        <w:autoSpaceDE w:val="0"/>
        <w:autoSpaceDN w:val="0"/>
        <w:adjustRightInd w:val="0"/>
        <w:spacing w:line="480" w:lineRule="auto"/>
        <w:rPr>
          <w:rFonts w:eastAsiaTheme="minorHAnsi"/>
        </w:rPr>
      </w:pPr>
      <w:r>
        <w:rPr>
          <w:rFonts w:asciiTheme="majorBidi" w:hAnsiTheme="majorBidi" w:cstheme="majorBidi"/>
        </w:rPr>
        <w:lastRenderedPageBreak/>
        <w:t xml:space="preserve">         </w:t>
      </w:r>
      <w:r w:rsidR="00CD4AF9">
        <w:rPr>
          <w:rFonts w:asciiTheme="majorBidi" w:hAnsiTheme="majorBidi" w:cstheme="majorBidi"/>
        </w:rPr>
        <w:t xml:space="preserve">It is now some </w:t>
      </w:r>
      <w:r w:rsidR="00321A2A">
        <w:rPr>
          <w:rFonts w:asciiTheme="majorBidi" w:hAnsiTheme="majorBidi" w:cstheme="majorBidi"/>
        </w:rPr>
        <w:t>39 years</w:t>
      </w:r>
      <w:r w:rsidR="00584CCD">
        <w:rPr>
          <w:rFonts w:asciiTheme="majorBidi" w:hAnsiTheme="majorBidi" w:cstheme="majorBidi"/>
        </w:rPr>
        <w:t xml:space="preserve"> since the </w:t>
      </w:r>
      <w:r w:rsidR="006C3F45">
        <w:rPr>
          <w:rFonts w:asciiTheme="majorBidi" w:hAnsiTheme="majorBidi" w:cstheme="majorBidi"/>
        </w:rPr>
        <w:t xml:space="preserve"> Bretton W</w:t>
      </w:r>
      <w:r w:rsidR="00321A2A">
        <w:rPr>
          <w:rFonts w:asciiTheme="majorBidi" w:hAnsiTheme="majorBidi" w:cstheme="majorBidi"/>
        </w:rPr>
        <w:t>oods system of fixed exchange rate ended,</w:t>
      </w:r>
      <w:r w:rsidR="00584CCD">
        <w:rPr>
          <w:rFonts w:asciiTheme="majorBidi" w:hAnsiTheme="majorBidi" w:cstheme="majorBidi"/>
        </w:rPr>
        <w:t xml:space="preserve"> when the president of USA (Richard Milhous Nixon) </w:t>
      </w:r>
      <w:r w:rsidR="009E3117">
        <w:rPr>
          <w:rFonts w:asciiTheme="majorBidi" w:hAnsiTheme="majorBidi" w:cstheme="majorBidi"/>
        </w:rPr>
        <w:t>abolish the gold cover system.</w:t>
      </w:r>
    </w:p>
    <w:p w:rsidR="002D0AD9" w:rsidRDefault="002D0AD9" w:rsidP="00DC7919">
      <w:pPr>
        <w:spacing w:after="120" w:line="480" w:lineRule="auto"/>
        <w:rPr>
          <w:rFonts w:asciiTheme="majorBidi" w:hAnsiTheme="majorBidi" w:cstheme="majorBidi"/>
        </w:rPr>
      </w:pPr>
      <w:r w:rsidRPr="00B45BDB">
        <w:rPr>
          <w:rFonts w:asciiTheme="majorBidi" w:hAnsiTheme="majorBidi" w:cstheme="majorBidi"/>
        </w:rPr>
        <w:t xml:space="preserve">The gold standard was a commitment by participating countries to fix the prices of their domestic currencies in terms of a specified amount of gold. </w:t>
      </w:r>
    </w:p>
    <w:p w:rsidR="002D0AD9" w:rsidRDefault="002D0AD9" w:rsidP="00DC7919">
      <w:pPr>
        <w:spacing w:after="120" w:line="480" w:lineRule="auto"/>
        <w:rPr>
          <w:rFonts w:asciiTheme="majorBidi" w:hAnsiTheme="majorBidi" w:cstheme="majorBidi"/>
        </w:rPr>
      </w:pPr>
      <w:r w:rsidRPr="00B45BDB">
        <w:rPr>
          <w:rFonts w:asciiTheme="majorBidi" w:hAnsiTheme="majorBidi" w:cstheme="majorBidi"/>
        </w:rPr>
        <w:t>National money and other forms of money (bank deposits and notes) were freely converted into gold at the fixed price.</w:t>
      </w:r>
    </w:p>
    <w:p w:rsidR="002D0AD9" w:rsidRPr="003E7B1B" w:rsidRDefault="002D0AD9" w:rsidP="00DC7919">
      <w:pPr>
        <w:spacing w:after="120" w:line="480" w:lineRule="auto"/>
        <w:rPr>
          <w:rFonts w:asciiTheme="majorBidi" w:hAnsiTheme="majorBidi" w:cstheme="majorBidi"/>
        </w:rPr>
      </w:pPr>
      <w:r>
        <w:rPr>
          <w:rFonts w:asciiTheme="majorBidi" w:hAnsiTheme="majorBidi" w:cstheme="majorBidi"/>
        </w:rPr>
        <w:t xml:space="preserve"> </w:t>
      </w:r>
      <w:r w:rsidR="00D375C9">
        <w:rPr>
          <w:rFonts w:asciiTheme="majorBidi" w:hAnsiTheme="majorBidi" w:cstheme="majorBidi"/>
        </w:rPr>
        <w:t>"</w:t>
      </w:r>
      <w:r>
        <w:rPr>
          <w:rFonts w:asciiTheme="majorBidi" w:hAnsiTheme="majorBidi" w:cstheme="majorBidi"/>
        </w:rPr>
        <w:t xml:space="preserve">England adopted the </w:t>
      </w:r>
      <w:r w:rsidRPr="00B45BDB">
        <w:rPr>
          <w:rFonts w:asciiTheme="majorBidi" w:hAnsiTheme="majorBidi" w:cstheme="majorBidi"/>
        </w:rPr>
        <w:t>gold standard in 1717 after the master of the mint, Sir Isaac Newton, overvalued the silver guinea and formally adopted the gold standard in 1819. The United States, though formally on a bimetallic (gold and silver) standar</w:t>
      </w:r>
      <w:r w:rsidR="003E7B1B">
        <w:rPr>
          <w:rFonts w:asciiTheme="majorBidi" w:hAnsiTheme="majorBidi" w:cstheme="majorBidi"/>
        </w:rPr>
        <w:t>d, switched to gold in 1834</w:t>
      </w:r>
      <w:r w:rsidR="00D375C9">
        <w:rPr>
          <w:rFonts w:asciiTheme="majorBidi" w:hAnsiTheme="majorBidi" w:cstheme="majorBidi"/>
        </w:rPr>
        <w:t>"</w:t>
      </w:r>
      <w:r w:rsidR="003E7B1B">
        <w:rPr>
          <w:rFonts w:asciiTheme="majorBidi" w:hAnsiTheme="majorBidi" w:cstheme="majorBidi"/>
          <w:vertAlign w:val="superscript"/>
        </w:rPr>
        <w:t>1</w:t>
      </w:r>
      <w:r w:rsidR="003E7B1B">
        <w:rPr>
          <w:rFonts w:asciiTheme="majorBidi" w:hAnsiTheme="majorBidi" w:cstheme="majorBidi"/>
        </w:rPr>
        <w:t>.</w:t>
      </w:r>
    </w:p>
    <w:p w:rsidR="00C10342" w:rsidRDefault="002D0AD9" w:rsidP="00C10342">
      <w:pPr>
        <w:spacing w:after="120" w:line="480" w:lineRule="auto"/>
        <w:rPr>
          <w:rFonts w:asciiTheme="majorBidi" w:hAnsiTheme="majorBidi" w:cstheme="majorBidi"/>
        </w:rPr>
      </w:pPr>
      <w:r w:rsidRPr="00B45BDB">
        <w:rPr>
          <w:rFonts w:asciiTheme="majorBidi" w:hAnsiTheme="majorBidi" w:cstheme="majorBidi"/>
        </w:rPr>
        <w:t xml:space="preserve"> In 1834 the United States fixed the price of gold at $20.67 per ounce, where it remained until 1933. Other major countries joined the gold standard in the 1870s. The period from 1880 to 1914 is known as the classical gold standard. During that time the majority of countries adher</w:t>
      </w:r>
      <w:r w:rsidR="0097362C">
        <w:rPr>
          <w:rFonts w:asciiTheme="majorBidi" w:hAnsiTheme="majorBidi" w:cstheme="majorBidi"/>
        </w:rPr>
        <w:t>ed (in varying degrees) to gold, for example Japan joined the gold standard</w:t>
      </w:r>
      <w:r w:rsidR="003B29FA">
        <w:rPr>
          <w:rFonts w:asciiTheme="majorBidi" w:hAnsiTheme="majorBidi" w:cstheme="majorBidi"/>
        </w:rPr>
        <w:t xml:space="preserve"> in 1897, Australia joined in 1879</w:t>
      </w:r>
      <w:r w:rsidR="0097362C">
        <w:rPr>
          <w:rFonts w:asciiTheme="majorBidi" w:hAnsiTheme="majorBidi" w:cstheme="majorBidi"/>
        </w:rPr>
        <w:t>…etc.</w:t>
      </w:r>
    </w:p>
    <w:p w:rsidR="002D0AD9" w:rsidRDefault="002D0AD9" w:rsidP="00DC7919">
      <w:pPr>
        <w:spacing w:after="120" w:line="480" w:lineRule="auto"/>
        <w:rPr>
          <w:rFonts w:asciiTheme="majorBidi" w:hAnsiTheme="majorBidi" w:cstheme="majorBidi"/>
        </w:rPr>
      </w:pPr>
      <w:r w:rsidRPr="00B45BDB">
        <w:rPr>
          <w:rFonts w:asciiTheme="majorBidi" w:hAnsiTheme="majorBidi" w:cstheme="majorBidi"/>
        </w:rPr>
        <w:t xml:space="preserve"> It was also a period of unprecedented economic growth with relatively free trade in goods, labor, and capital. </w:t>
      </w:r>
    </w:p>
    <w:p w:rsidR="003E7B1B" w:rsidRDefault="00DD799E" w:rsidP="00DC7919">
      <w:pPr>
        <w:spacing w:after="120" w:line="480" w:lineRule="auto"/>
        <w:rPr>
          <w:rFonts w:asciiTheme="majorBidi" w:hAnsiTheme="majorBidi" w:cstheme="majorBidi"/>
        </w:rPr>
      </w:pPr>
      <w:r>
        <w:rPr>
          <w:rFonts w:asciiTheme="majorBidi" w:hAnsiTheme="majorBidi" w:cstheme="majorBidi"/>
        </w:rPr>
        <w:t xml:space="preserve">Source: </w:t>
      </w:r>
      <w:r w:rsidRPr="00DD799E">
        <w:rPr>
          <w:rFonts w:asciiTheme="majorBidi" w:hAnsiTheme="majorBidi" w:cstheme="majorBidi"/>
        </w:rPr>
        <w:t>http://en.wikipedia.org/wiki/Gold_standard</w:t>
      </w:r>
      <w:r>
        <w:rPr>
          <w:rFonts w:asciiTheme="majorBidi" w:hAnsiTheme="majorBidi" w:cstheme="majorBidi"/>
        </w:rPr>
        <w:t>.</w:t>
      </w:r>
    </w:p>
    <w:p w:rsidR="003E7B1B" w:rsidRDefault="003E7B1B" w:rsidP="00DC7919">
      <w:pPr>
        <w:spacing w:after="120" w:line="480" w:lineRule="auto"/>
        <w:rPr>
          <w:rFonts w:asciiTheme="majorBidi" w:hAnsiTheme="majorBidi" w:cstheme="majorBidi"/>
        </w:rPr>
      </w:pPr>
    </w:p>
    <w:p w:rsidR="003E7B1B" w:rsidRDefault="003E7B1B" w:rsidP="00DC7919">
      <w:pPr>
        <w:spacing w:after="120" w:line="480" w:lineRule="auto"/>
        <w:rPr>
          <w:rFonts w:asciiTheme="majorBidi" w:hAnsiTheme="majorBidi" w:cstheme="majorBidi"/>
        </w:rPr>
      </w:pPr>
    </w:p>
    <w:p w:rsidR="003E7B1B" w:rsidRDefault="00E638C0" w:rsidP="00DC7919">
      <w:pPr>
        <w:spacing w:after="120" w:line="480" w:lineRule="auto"/>
        <w:rPr>
          <w:rFonts w:asciiTheme="majorBidi" w:hAnsiTheme="majorBidi" w:cstheme="majorBidi"/>
          <w:sz w:val="20"/>
          <w:szCs w:val="20"/>
        </w:rPr>
      </w:pPr>
      <w:r>
        <w:rPr>
          <w:rFonts w:asciiTheme="majorBidi" w:hAnsiTheme="majorBidi" w:cstheme="majorBidi"/>
          <w:noProof/>
          <w:sz w:val="20"/>
          <w:szCs w:val="20"/>
        </w:rPr>
        <w:pict>
          <v:shapetype id="_x0000_t32" coordsize="21600,21600" o:spt="32" o:oned="t" path="m,l21600,21600e" filled="f">
            <v:path arrowok="t" fillok="f" o:connecttype="none"/>
            <o:lock v:ext="edit" shapetype="t"/>
          </v:shapetype>
          <v:shape id="_x0000_s1026" type="#_x0000_t32" style="position:absolute;margin-left:-.85pt;margin-top:20.9pt;width:134.45pt;height:0;z-index:251659264" o:connectortype="straight">
            <w10:wrap anchorx="page"/>
          </v:shape>
        </w:pict>
      </w:r>
    </w:p>
    <w:p w:rsidR="003E7B1B" w:rsidRPr="003E7B1B" w:rsidRDefault="00DD799E" w:rsidP="00DC7919">
      <w:pPr>
        <w:spacing w:after="120" w:line="480" w:lineRule="auto"/>
        <w:rPr>
          <w:rFonts w:asciiTheme="majorBidi" w:hAnsiTheme="majorBidi" w:cstheme="majorBidi"/>
          <w:sz w:val="20"/>
          <w:szCs w:val="20"/>
        </w:rPr>
      </w:pPr>
      <w:r>
        <w:rPr>
          <w:rFonts w:asciiTheme="majorBidi" w:hAnsiTheme="majorBidi" w:cstheme="majorBidi"/>
          <w:sz w:val="20"/>
          <w:szCs w:val="20"/>
          <w:vertAlign w:val="superscript"/>
        </w:rPr>
        <w:t xml:space="preserve">1 </w:t>
      </w:r>
      <w:r w:rsidR="003E7B1B" w:rsidRPr="003E7B1B">
        <w:rPr>
          <w:rFonts w:asciiTheme="majorBidi" w:hAnsiTheme="majorBidi" w:cstheme="majorBidi"/>
          <w:sz w:val="20"/>
          <w:szCs w:val="20"/>
        </w:rPr>
        <w:t>www.econlib.org/library/Enc/GoldStandard.html</w:t>
      </w:r>
      <w:r>
        <w:rPr>
          <w:rFonts w:asciiTheme="majorBidi" w:hAnsiTheme="majorBidi" w:cstheme="majorBidi"/>
          <w:sz w:val="20"/>
          <w:szCs w:val="20"/>
        </w:rPr>
        <w:t>.</w:t>
      </w:r>
    </w:p>
    <w:p w:rsidR="003E7B1B" w:rsidRDefault="002D0AD9" w:rsidP="00DC7919">
      <w:pPr>
        <w:spacing w:after="120" w:line="480" w:lineRule="auto"/>
        <w:rPr>
          <w:rFonts w:asciiTheme="majorBidi" w:hAnsiTheme="majorBidi" w:cstheme="majorBidi"/>
        </w:rPr>
      </w:pPr>
      <w:r w:rsidRPr="00B45BDB">
        <w:rPr>
          <w:rFonts w:asciiTheme="majorBidi" w:hAnsiTheme="majorBidi" w:cstheme="majorBidi"/>
        </w:rPr>
        <w:lastRenderedPageBreak/>
        <w:t>The gold standard broke down during World War I as major belligerents resorted to inflationary finance and was briefly reinstated from 1925 to 1931 as the Gold Exchange Standard. Under this standard countries could hold gold or dollars or pounds as reserves, except for the United States and the United Kingdom, which held reserves only in gold.</w:t>
      </w:r>
    </w:p>
    <w:p w:rsidR="00C10342" w:rsidRDefault="002D0AD9" w:rsidP="00962901">
      <w:pPr>
        <w:spacing w:after="120" w:line="480" w:lineRule="auto"/>
        <w:rPr>
          <w:rFonts w:asciiTheme="majorBidi" w:hAnsiTheme="majorBidi" w:cstheme="majorBidi"/>
        </w:rPr>
      </w:pPr>
      <w:r w:rsidRPr="00B45BDB">
        <w:rPr>
          <w:rFonts w:asciiTheme="majorBidi" w:hAnsiTheme="majorBidi" w:cstheme="majorBidi"/>
        </w:rPr>
        <w:t xml:space="preserve"> </w:t>
      </w:r>
      <w:r w:rsidR="00D375C9">
        <w:rPr>
          <w:rFonts w:asciiTheme="majorBidi" w:hAnsiTheme="majorBidi" w:cstheme="majorBidi"/>
        </w:rPr>
        <w:t>"</w:t>
      </w:r>
      <w:r w:rsidRPr="00B45BDB">
        <w:rPr>
          <w:rFonts w:asciiTheme="majorBidi" w:hAnsiTheme="majorBidi" w:cstheme="majorBidi"/>
        </w:rPr>
        <w:t>This version broke down in 1931 following Britain's departure from gold in the face of massive gold and capital outflows. In 1933 President Roosevelt nationalized gold owned by private citizens and abrogated contracts in which payment was specified in gold. Between 1946 and 1971 countries operated under the Bretton Woods system. Under this further modification of the gold standard, most countries settled their international balances in U.S. dollars, but the U.S. government promised to redeem other central banks' holdings of dollars for gold at a fixed rate of $35 per ounce. However, persistent U.S. balance-of-payments deficits steadily reduced U.S. gold reserves, reducing confidence in the ability of the United States to redeem its currency in gold. Finally, on August 15, 1971, President Nixon announced that the United States would no longer redeem currency for gold. This was the final step i</w:t>
      </w:r>
      <w:r w:rsidR="0097362C">
        <w:rPr>
          <w:rFonts w:asciiTheme="majorBidi" w:hAnsiTheme="majorBidi" w:cstheme="majorBidi"/>
        </w:rPr>
        <w:t>n abandoning the gold standard, and the first step in the floating exchange system</w:t>
      </w:r>
      <w:r w:rsidR="00D375C9">
        <w:rPr>
          <w:rFonts w:asciiTheme="majorBidi" w:hAnsiTheme="majorBidi" w:cstheme="majorBidi"/>
        </w:rPr>
        <w:t>"</w:t>
      </w:r>
      <w:r w:rsidR="00962901">
        <w:rPr>
          <w:rFonts w:asciiTheme="majorBidi" w:hAnsiTheme="majorBidi" w:cstheme="majorBidi"/>
          <w:vertAlign w:val="superscript"/>
        </w:rPr>
        <w:t>2</w:t>
      </w:r>
      <w:r w:rsidR="0097362C">
        <w:rPr>
          <w:rFonts w:asciiTheme="majorBidi" w:hAnsiTheme="majorBidi" w:cstheme="majorBidi"/>
        </w:rPr>
        <w:t>.</w:t>
      </w:r>
    </w:p>
    <w:p w:rsidR="00DD799E" w:rsidRPr="00962901" w:rsidRDefault="00962901" w:rsidP="00962901">
      <w:pPr>
        <w:autoSpaceDE w:val="0"/>
        <w:autoSpaceDN w:val="0"/>
        <w:adjustRightInd w:val="0"/>
        <w:spacing w:line="480" w:lineRule="auto"/>
        <w:rPr>
          <w:rFonts w:eastAsiaTheme="minorHAnsi"/>
        </w:rPr>
      </w:pPr>
      <w:r>
        <w:rPr>
          <w:rFonts w:eastAsiaTheme="minorHAnsi"/>
        </w:rPr>
        <w:t>The floating exchange system has brought a lot of fluctuation in exchange rate and high  rising in the cost of living , which has renewed</w:t>
      </w:r>
      <w:r w:rsidRPr="001D0AA1">
        <w:rPr>
          <w:rFonts w:eastAsiaTheme="minorHAnsi"/>
        </w:rPr>
        <w:t xml:space="preserve"> </w:t>
      </w:r>
      <w:r>
        <w:rPr>
          <w:rFonts w:eastAsiaTheme="minorHAnsi"/>
        </w:rPr>
        <w:t xml:space="preserve"> the </w:t>
      </w:r>
      <w:r w:rsidRPr="001D0AA1">
        <w:rPr>
          <w:rFonts w:eastAsiaTheme="minorHAnsi"/>
        </w:rPr>
        <w:t>interest in the gold</w:t>
      </w:r>
      <w:r>
        <w:rPr>
          <w:rFonts w:eastAsiaTheme="minorHAnsi"/>
        </w:rPr>
        <w:t xml:space="preserve"> </w:t>
      </w:r>
      <w:r w:rsidRPr="001D0AA1">
        <w:rPr>
          <w:rFonts w:eastAsiaTheme="minorHAnsi"/>
        </w:rPr>
        <w:t>standard as a way to stabilize th</w:t>
      </w:r>
      <w:r>
        <w:rPr>
          <w:rFonts w:eastAsiaTheme="minorHAnsi"/>
        </w:rPr>
        <w:t xml:space="preserve">e purchasing power of the our money </w:t>
      </w:r>
      <w:r w:rsidRPr="001D0AA1">
        <w:rPr>
          <w:rFonts w:eastAsiaTheme="minorHAnsi"/>
        </w:rPr>
        <w:t>.</w:t>
      </w:r>
    </w:p>
    <w:p w:rsidR="00962901" w:rsidRDefault="00962901" w:rsidP="00C5663D">
      <w:pPr>
        <w:spacing w:after="120" w:line="480" w:lineRule="auto"/>
        <w:rPr>
          <w:rFonts w:asciiTheme="majorBidi" w:hAnsiTheme="majorBidi" w:cstheme="majorBidi"/>
        </w:rPr>
      </w:pPr>
    </w:p>
    <w:p w:rsidR="00DD799E" w:rsidRDefault="00E638C0" w:rsidP="00C5663D">
      <w:pPr>
        <w:spacing w:after="120" w:line="480" w:lineRule="auto"/>
        <w:rPr>
          <w:rFonts w:asciiTheme="majorBidi" w:hAnsiTheme="majorBidi" w:cstheme="majorBidi"/>
        </w:rPr>
      </w:pPr>
      <w:r>
        <w:rPr>
          <w:rFonts w:asciiTheme="majorBidi" w:hAnsiTheme="majorBidi" w:cstheme="majorBidi"/>
          <w:noProof/>
        </w:rPr>
        <w:pict>
          <v:shape id="_x0000_s1027" type="#_x0000_t32" style="position:absolute;margin-left:-1.45pt;margin-top:27.4pt;width:134.45pt;height:0;z-index:251660288" o:connectortype="straight">
            <w10:wrap anchorx="page"/>
          </v:shape>
        </w:pict>
      </w:r>
    </w:p>
    <w:p w:rsidR="00DD799E" w:rsidRPr="00DD799E" w:rsidRDefault="00DD799E" w:rsidP="00C5663D">
      <w:pPr>
        <w:spacing w:after="120" w:line="480" w:lineRule="auto"/>
        <w:rPr>
          <w:rFonts w:asciiTheme="majorBidi" w:hAnsiTheme="majorBidi" w:cstheme="majorBidi"/>
          <w:sz w:val="20"/>
          <w:szCs w:val="20"/>
        </w:rPr>
      </w:pPr>
      <w:r w:rsidRPr="00DD799E">
        <w:rPr>
          <w:rFonts w:asciiTheme="majorBidi" w:hAnsiTheme="majorBidi" w:cstheme="majorBidi"/>
          <w:sz w:val="20"/>
          <w:szCs w:val="20"/>
          <w:vertAlign w:val="superscript"/>
        </w:rPr>
        <w:t xml:space="preserve">2 </w:t>
      </w:r>
      <w:r w:rsidRPr="00DD799E">
        <w:rPr>
          <w:rFonts w:asciiTheme="majorBidi" w:hAnsiTheme="majorBidi" w:cstheme="majorBidi"/>
          <w:sz w:val="20"/>
          <w:szCs w:val="20"/>
        </w:rPr>
        <w:t>www.econlib.org/library/Enc/GoldStandard.html.</w:t>
      </w:r>
    </w:p>
    <w:p w:rsidR="001D0AA1" w:rsidRDefault="00584CCD" w:rsidP="00DD2E32">
      <w:pPr>
        <w:autoSpaceDE w:val="0"/>
        <w:autoSpaceDN w:val="0"/>
        <w:adjustRightInd w:val="0"/>
        <w:spacing w:line="480" w:lineRule="auto"/>
        <w:rPr>
          <w:rFonts w:eastAsiaTheme="minorHAnsi"/>
        </w:rPr>
      </w:pPr>
      <w:r>
        <w:rPr>
          <w:rFonts w:eastAsiaTheme="minorHAnsi"/>
        </w:rPr>
        <w:lastRenderedPageBreak/>
        <w:t xml:space="preserve">Today some </w:t>
      </w:r>
      <w:r w:rsidR="0071295E">
        <w:rPr>
          <w:rFonts w:eastAsiaTheme="minorHAnsi"/>
        </w:rPr>
        <w:t xml:space="preserve">economists advocate the return to the gold standard, </w:t>
      </w:r>
      <w:r w:rsidR="00442DD7">
        <w:rPr>
          <w:rFonts w:eastAsiaTheme="minorHAnsi"/>
        </w:rPr>
        <w:t>because of its ability to stabilize the purchasing power, whi</w:t>
      </w:r>
      <w:r w:rsidR="0010422B">
        <w:rPr>
          <w:rFonts w:eastAsiaTheme="minorHAnsi"/>
        </w:rPr>
        <w:t>ch will influence all our life standards.</w:t>
      </w:r>
      <w:r w:rsidR="00442DD7">
        <w:rPr>
          <w:rFonts w:eastAsiaTheme="minorHAnsi"/>
        </w:rPr>
        <w:t xml:space="preserve">   </w:t>
      </w:r>
    </w:p>
    <w:p w:rsidR="00E92651" w:rsidRPr="001D0AA1" w:rsidRDefault="0010422B" w:rsidP="00DD2E32">
      <w:pPr>
        <w:autoSpaceDE w:val="0"/>
        <w:autoSpaceDN w:val="0"/>
        <w:adjustRightInd w:val="0"/>
        <w:spacing w:line="480" w:lineRule="auto"/>
        <w:rPr>
          <w:rFonts w:eastAsiaTheme="minorHAnsi"/>
        </w:rPr>
      </w:pPr>
      <w:r>
        <w:rPr>
          <w:rFonts w:eastAsiaTheme="minorHAnsi"/>
        </w:rPr>
        <w:t xml:space="preserve"> The </w:t>
      </w:r>
      <w:r w:rsidR="00546667">
        <w:rPr>
          <w:rFonts w:eastAsiaTheme="minorHAnsi"/>
        </w:rPr>
        <w:t>opponents of gold standard say</w:t>
      </w:r>
      <w:r>
        <w:rPr>
          <w:rFonts w:eastAsiaTheme="minorHAnsi"/>
        </w:rPr>
        <w:t xml:space="preserve"> that </w:t>
      </w:r>
      <w:r w:rsidR="00546667">
        <w:rPr>
          <w:rFonts w:eastAsiaTheme="minorHAnsi"/>
        </w:rPr>
        <w:t>the gold price is affected by the law of supply a</w:t>
      </w:r>
      <w:r w:rsidR="00321A2A">
        <w:rPr>
          <w:rFonts w:eastAsiaTheme="minorHAnsi"/>
        </w:rPr>
        <w:t>nd demand and by its production.</w:t>
      </w:r>
    </w:p>
    <w:p w:rsidR="009126E0" w:rsidRDefault="00DA6DE2" w:rsidP="00CC7DCF">
      <w:pPr>
        <w:autoSpaceDE w:val="0"/>
        <w:autoSpaceDN w:val="0"/>
        <w:adjustRightInd w:val="0"/>
        <w:spacing w:line="480" w:lineRule="auto"/>
        <w:rPr>
          <w:rFonts w:eastAsiaTheme="minorHAnsi"/>
        </w:rPr>
      </w:pPr>
      <w:r>
        <w:rPr>
          <w:rFonts w:eastAsiaTheme="minorHAnsi"/>
        </w:rPr>
        <w:t>The purpose of this research is to find o</w:t>
      </w:r>
      <w:r w:rsidR="00F05081">
        <w:rPr>
          <w:rFonts w:eastAsiaTheme="minorHAnsi"/>
        </w:rPr>
        <w:t xml:space="preserve">ut if the gold price stability still existed </w:t>
      </w:r>
      <w:r>
        <w:rPr>
          <w:rFonts w:eastAsiaTheme="minorHAnsi"/>
        </w:rPr>
        <w:t xml:space="preserve"> </w:t>
      </w:r>
      <w:r w:rsidR="00F05081">
        <w:rPr>
          <w:rFonts w:eastAsiaTheme="minorHAnsi"/>
        </w:rPr>
        <w:t>after 1971</w:t>
      </w:r>
      <w:r w:rsidR="005502BC">
        <w:rPr>
          <w:rFonts w:eastAsiaTheme="minorHAnsi"/>
        </w:rPr>
        <w:t>, or the gold price</w:t>
      </w:r>
      <w:r w:rsidR="00E92651">
        <w:rPr>
          <w:rFonts w:eastAsiaTheme="minorHAnsi"/>
        </w:rPr>
        <w:t xml:space="preserve"> fluctuate more than </w:t>
      </w:r>
      <w:r w:rsidR="005502BC">
        <w:rPr>
          <w:rFonts w:eastAsiaTheme="minorHAnsi"/>
        </w:rPr>
        <w:t xml:space="preserve">the fiat money price </w:t>
      </w:r>
      <w:r w:rsidR="00E92651">
        <w:rPr>
          <w:rFonts w:eastAsiaTheme="minorHAnsi"/>
        </w:rPr>
        <w:t xml:space="preserve"> according to the law of supply and demand and its production , and </w:t>
      </w:r>
      <w:r w:rsidR="005502BC">
        <w:rPr>
          <w:rFonts w:eastAsiaTheme="minorHAnsi"/>
        </w:rPr>
        <w:t>it's</w:t>
      </w:r>
      <w:r w:rsidR="00E92651">
        <w:rPr>
          <w:rFonts w:eastAsiaTheme="minorHAnsi"/>
        </w:rPr>
        <w:t xml:space="preserve"> irrelevant to</w:t>
      </w:r>
      <w:r w:rsidR="005502BC">
        <w:rPr>
          <w:rFonts w:eastAsiaTheme="minorHAnsi"/>
        </w:rPr>
        <w:t xml:space="preserve"> be the base of our economic.</w:t>
      </w:r>
      <w:r w:rsidR="00E92651">
        <w:rPr>
          <w:rFonts w:eastAsiaTheme="minorHAnsi"/>
        </w:rPr>
        <w:t xml:space="preserve"> </w:t>
      </w:r>
      <w:r>
        <w:rPr>
          <w:rFonts w:eastAsiaTheme="minorHAnsi"/>
        </w:rPr>
        <w:t xml:space="preserve"> </w:t>
      </w:r>
    </w:p>
    <w:p w:rsidR="001D0AA1" w:rsidRDefault="009126E0" w:rsidP="00DD2E32">
      <w:pPr>
        <w:autoSpaceDE w:val="0"/>
        <w:autoSpaceDN w:val="0"/>
        <w:adjustRightInd w:val="0"/>
        <w:spacing w:line="480" w:lineRule="auto"/>
        <w:rPr>
          <w:rFonts w:eastAsiaTheme="minorHAnsi"/>
        </w:rPr>
      </w:pPr>
      <w:r>
        <w:rPr>
          <w:rFonts w:eastAsiaTheme="minorHAnsi"/>
        </w:rPr>
        <w:t>Some of</w:t>
      </w:r>
      <w:r w:rsidR="00637056">
        <w:rPr>
          <w:rFonts w:eastAsiaTheme="minorHAnsi"/>
        </w:rPr>
        <w:t xml:space="preserve"> researchers have studied the ability of gold standards to </w:t>
      </w:r>
      <w:r w:rsidR="00637056" w:rsidRPr="001D0AA1">
        <w:rPr>
          <w:rFonts w:eastAsiaTheme="minorHAnsi"/>
        </w:rPr>
        <w:t>stabilize th</w:t>
      </w:r>
      <w:r w:rsidR="00637056">
        <w:rPr>
          <w:rFonts w:eastAsiaTheme="minorHAnsi"/>
        </w:rPr>
        <w:t>e purchasing power of the money.</w:t>
      </w:r>
    </w:p>
    <w:p w:rsidR="001D04D2" w:rsidRPr="001D04D2" w:rsidRDefault="001D04D2" w:rsidP="001D04D2">
      <w:pPr>
        <w:autoSpaceDE w:val="0"/>
        <w:autoSpaceDN w:val="0"/>
        <w:adjustRightInd w:val="0"/>
        <w:rPr>
          <w:rFonts w:asciiTheme="majorBidi" w:eastAsiaTheme="minorHAnsi" w:hAnsiTheme="majorBidi" w:cstheme="majorBidi"/>
        </w:rPr>
      </w:pPr>
    </w:p>
    <w:p w:rsidR="003C2913" w:rsidRDefault="003C2913" w:rsidP="00DD2E32">
      <w:pPr>
        <w:autoSpaceDE w:val="0"/>
        <w:autoSpaceDN w:val="0"/>
        <w:adjustRightInd w:val="0"/>
        <w:spacing w:line="480" w:lineRule="auto"/>
        <w:rPr>
          <w:rFonts w:eastAsiaTheme="minorHAnsi"/>
        </w:rPr>
      </w:pPr>
      <w:r>
        <w:rPr>
          <w:rFonts w:eastAsiaTheme="minorHAnsi"/>
        </w:rPr>
        <w:t xml:space="preserve">The </w:t>
      </w:r>
      <w:r w:rsidR="001D04D2">
        <w:rPr>
          <w:rFonts w:eastAsiaTheme="minorHAnsi"/>
        </w:rPr>
        <w:t>importance of this research comes</w:t>
      </w:r>
      <w:r>
        <w:rPr>
          <w:rFonts w:eastAsiaTheme="minorHAnsi"/>
        </w:rPr>
        <w:t xml:space="preserve"> from studying the price stability after 1971in ver</w:t>
      </w:r>
      <w:r w:rsidR="009126E0">
        <w:rPr>
          <w:rFonts w:eastAsiaTheme="minorHAnsi"/>
        </w:rPr>
        <w:t>y important countries</w:t>
      </w:r>
      <w:r>
        <w:rPr>
          <w:rFonts w:eastAsiaTheme="minorHAnsi"/>
        </w:rPr>
        <w:t xml:space="preserve"> in the world (USA, UK, Japan, </w:t>
      </w:r>
      <w:r w:rsidR="001D04D2">
        <w:rPr>
          <w:rFonts w:eastAsiaTheme="minorHAnsi"/>
        </w:rPr>
        <w:t>and Australia</w:t>
      </w:r>
      <w:r w:rsidR="00990A63">
        <w:rPr>
          <w:rFonts w:eastAsiaTheme="minorHAnsi"/>
        </w:rPr>
        <w:t xml:space="preserve">) which represent </w:t>
      </w:r>
      <w:r>
        <w:rPr>
          <w:rFonts w:eastAsiaTheme="minorHAnsi"/>
        </w:rPr>
        <w:t>more than 35% of the world economy.</w:t>
      </w:r>
    </w:p>
    <w:p w:rsidR="007A6001" w:rsidRDefault="00A4746D" w:rsidP="002B3430">
      <w:pPr>
        <w:autoSpaceDE w:val="0"/>
        <w:autoSpaceDN w:val="0"/>
        <w:adjustRightInd w:val="0"/>
        <w:spacing w:line="480" w:lineRule="auto"/>
      </w:pPr>
      <w:r>
        <w:t xml:space="preserve"> </w:t>
      </w:r>
      <w:r w:rsidR="009126E0">
        <w:t>The</w:t>
      </w:r>
      <w:r>
        <w:t xml:space="preserve"> researcher of course will ensure the results of previous studies or will give an new result which can be discussed. </w:t>
      </w:r>
    </w:p>
    <w:p w:rsidR="001012C7" w:rsidRDefault="001012C7" w:rsidP="00C25982">
      <w:pPr>
        <w:autoSpaceDE w:val="0"/>
        <w:autoSpaceDN w:val="0"/>
        <w:adjustRightInd w:val="0"/>
        <w:spacing w:line="480" w:lineRule="auto"/>
      </w:pPr>
    </w:p>
    <w:p w:rsidR="00C25982" w:rsidRDefault="00C02075" w:rsidP="00C25982">
      <w:pPr>
        <w:autoSpaceDE w:val="0"/>
        <w:autoSpaceDN w:val="0"/>
        <w:adjustRightInd w:val="0"/>
        <w:spacing w:line="480" w:lineRule="auto"/>
      </w:pPr>
      <w:r>
        <w:t>The study might answer the following questions:</w:t>
      </w:r>
    </w:p>
    <w:p w:rsidR="00C02075" w:rsidRDefault="000351DF" w:rsidP="00C02075">
      <w:pPr>
        <w:pStyle w:val="ListParagraph"/>
        <w:numPr>
          <w:ilvl w:val="0"/>
          <w:numId w:val="2"/>
        </w:numPr>
        <w:autoSpaceDE w:val="0"/>
        <w:autoSpaceDN w:val="0"/>
        <w:adjustRightInd w:val="0"/>
        <w:spacing w:line="480" w:lineRule="auto"/>
      </w:pPr>
      <w:r>
        <w:t>Which can stab</w:t>
      </w:r>
      <w:r w:rsidR="007B2115">
        <w:t>ilize the purchasing power more in the USA</w:t>
      </w:r>
      <w:r>
        <w:t xml:space="preserve"> after 1971 the gold or the dollar?</w:t>
      </w:r>
    </w:p>
    <w:p w:rsidR="000351DF" w:rsidRDefault="000351DF" w:rsidP="00C02075">
      <w:pPr>
        <w:pStyle w:val="ListParagraph"/>
        <w:numPr>
          <w:ilvl w:val="0"/>
          <w:numId w:val="2"/>
        </w:numPr>
        <w:autoSpaceDE w:val="0"/>
        <w:autoSpaceDN w:val="0"/>
        <w:adjustRightInd w:val="0"/>
        <w:spacing w:line="480" w:lineRule="auto"/>
      </w:pPr>
      <w:r>
        <w:t xml:space="preserve">Which can stabilize the purchasing power more in the UK after 1971 the gold or the </w:t>
      </w:r>
      <w:r w:rsidR="00634411">
        <w:t>UK pound?</w:t>
      </w:r>
    </w:p>
    <w:p w:rsidR="00634411" w:rsidRDefault="00634411" w:rsidP="00C02075">
      <w:pPr>
        <w:pStyle w:val="ListParagraph"/>
        <w:numPr>
          <w:ilvl w:val="0"/>
          <w:numId w:val="2"/>
        </w:numPr>
        <w:autoSpaceDE w:val="0"/>
        <w:autoSpaceDN w:val="0"/>
        <w:adjustRightInd w:val="0"/>
        <w:spacing w:line="480" w:lineRule="auto"/>
      </w:pPr>
      <w:r>
        <w:t xml:space="preserve">Which can stabilize the purchasing power more in Japan after 1971 the gold or the </w:t>
      </w:r>
      <w:r w:rsidR="003850D2">
        <w:t>yen?</w:t>
      </w:r>
    </w:p>
    <w:p w:rsidR="003850D2" w:rsidRDefault="003850D2" w:rsidP="00C5663D">
      <w:pPr>
        <w:pStyle w:val="ListParagraph"/>
        <w:numPr>
          <w:ilvl w:val="0"/>
          <w:numId w:val="2"/>
        </w:numPr>
        <w:autoSpaceDE w:val="0"/>
        <w:autoSpaceDN w:val="0"/>
        <w:adjustRightInd w:val="0"/>
        <w:spacing w:line="480" w:lineRule="auto"/>
      </w:pPr>
      <w:r>
        <w:lastRenderedPageBreak/>
        <w:t>Which can stabilize the purchasing power more in the Australia after 1971 the gold or the Australian dollar?</w:t>
      </w:r>
    </w:p>
    <w:p w:rsidR="003850D2" w:rsidRDefault="003850D2" w:rsidP="003850D2">
      <w:pPr>
        <w:spacing w:line="480" w:lineRule="auto"/>
        <w:ind w:left="360" w:right="-180"/>
      </w:pPr>
      <w:r>
        <w:t xml:space="preserve">             After conducting the study, the conclusions may be used for different purposes such as:</w:t>
      </w:r>
    </w:p>
    <w:p w:rsidR="002B293B" w:rsidRDefault="00DD2E32" w:rsidP="002B293B">
      <w:pPr>
        <w:spacing w:line="480" w:lineRule="auto"/>
        <w:ind w:left="360" w:right="-180"/>
      </w:pPr>
      <w:r>
        <w:t>1) - Investigating if</w:t>
      </w:r>
      <w:r w:rsidR="002B293B">
        <w:t xml:space="preserve"> the gold price really fluctuates afte</w:t>
      </w:r>
      <w:r w:rsidR="008A7C06">
        <w:t>r 1971 more than the fiat money in the long and short run.</w:t>
      </w:r>
    </w:p>
    <w:p w:rsidR="002B72BB" w:rsidRDefault="00DD2E32" w:rsidP="002B293B">
      <w:pPr>
        <w:spacing w:line="480" w:lineRule="auto"/>
        <w:ind w:left="360" w:right="-180"/>
      </w:pPr>
      <w:r>
        <w:t>2) -</w:t>
      </w:r>
      <w:r w:rsidR="002B293B">
        <w:t xml:space="preserve"> In</w:t>
      </w:r>
      <w:r w:rsidR="002B72BB">
        <w:t>vestigating the ability of gold to be our new monetary system.</w:t>
      </w:r>
    </w:p>
    <w:p w:rsidR="002B72BB" w:rsidRDefault="00DD2E32" w:rsidP="002B72BB">
      <w:pPr>
        <w:spacing w:line="480" w:lineRule="auto"/>
        <w:ind w:left="360" w:right="-180"/>
      </w:pPr>
      <w:r>
        <w:t>3) - A</w:t>
      </w:r>
      <w:r w:rsidR="002B72BB">
        <w:t xml:space="preserve"> base for further </w:t>
      </w:r>
      <w:r>
        <w:t>research,</w:t>
      </w:r>
      <w:r w:rsidR="002B72BB">
        <w:t xml:space="preserve"> especially in coming periods in different economies.</w:t>
      </w:r>
    </w:p>
    <w:p w:rsidR="00DD2E32" w:rsidRDefault="00DD2E32" w:rsidP="00EF4AE9">
      <w:pPr>
        <w:spacing w:line="480" w:lineRule="auto"/>
        <w:ind w:left="360" w:right="-180"/>
      </w:pPr>
      <w:r>
        <w:t>4) Discussing the research result with the previous research results.</w:t>
      </w:r>
    </w:p>
    <w:p w:rsidR="00391D12" w:rsidRDefault="00DD2E32" w:rsidP="002B72BB">
      <w:pPr>
        <w:spacing w:line="480" w:lineRule="auto"/>
        <w:ind w:left="360" w:right="-180"/>
      </w:pPr>
      <w:r>
        <w:t>The limitation, that can be mentioned, the lack of data</w:t>
      </w:r>
      <w:r w:rsidR="00391D12">
        <w:t xml:space="preserve"> and accurate data for other countries especially Arab countries, which force the research to include</w:t>
      </w:r>
      <w:r w:rsidR="005408E9">
        <w:t xml:space="preserve"> just</w:t>
      </w:r>
      <w:r w:rsidR="00391D12">
        <w:t xml:space="preserve"> th</w:t>
      </w:r>
      <w:r w:rsidR="005408E9">
        <w:t>e countries mentioned above</w:t>
      </w:r>
      <w:r w:rsidR="00391D12">
        <w:t>.</w:t>
      </w:r>
    </w:p>
    <w:p w:rsidR="00BC6D01" w:rsidRDefault="00BC6D01" w:rsidP="002B72BB">
      <w:pPr>
        <w:spacing w:line="480" w:lineRule="auto"/>
        <w:ind w:left="360" w:right="-180"/>
      </w:pPr>
    </w:p>
    <w:p w:rsidR="001012C7" w:rsidRDefault="001012C7" w:rsidP="002B72BB">
      <w:pPr>
        <w:spacing w:line="480" w:lineRule="auto"/>
        <w:ind w:left="360" w:right="-180"/>
      </w:pPr>
    </w:p>
    <w:p w:rsidR="001012C7" w:rsidRDefault="001012C7" w:rsidP="002B72BB">
      <w:pPr>
        <w:spacing w:line="480" w:lineRule="auto"/>
        <w:ind w:left="360" w:right="-180"/>
      </w:pPr>
    </w:p>
    <w:p w:rsidR="001012C7" w:rsidRDefault="001012C7" w:rsidP="002B72BB">
      <w:pPr>
        <w:spacing w:line="480" w:lineRule="auto"/>
        <w:ind w:left="360" w:right="-180"/>
      </w:pPr>
    </w:p>
    <w:p w:rsidR="001012C7" w:rsidRDefault="001012C7" w:rsidP="002B72BB">
      <w:pPr>
        <w:spacing w:line="480" w:lineRule="auto"/>
        <w:ind w:left="360" w:right="-180"/>
      </w:pPr>
    </w:p>
    <w:p w:rsidR="001012C7" w:rsidRDefault="001012C7" w:rsidP="002B72BB">
      <w:pPr>
        <w:spacing w:line="480" w:lineRule="auto"/>
        <w:ind w:left="360" w:right="-180"/>
      </w:pPr>
    </w:p>
    <w:p w:rsidR="001012C7" w:rsidRDefault="001012C7" w:rsidP="002B72BB">
      <w:pPr>
        <w:spacing w:line="480" w:lineRule="auto"/>
        <w:ind w:left="360" w:right="-180"/>
      </w:pPr>
    </w:p>
    <w:p w:rsidR="001012C7" w:rsidRDefault="001012C7" w:rsidP="002B72BB">
      <w:pPr>
        <w:spacing w:line="480" w:lineRule="auto"/>
        <w:ind w:left="360" w:right="-180"/>
      </w:pPr>
    </w:p>
    <w:p w:rsidR="001012C7" w:rsidRDefault="001012C7" w:rsidP="002B72BB">
      <w:pPr>
        <w:spacing w:line="480" w:lineRule="auto"/>
        <w:ind w:left="360" w:right="-180"/>
      </w:pPr>
    </w:p>
    <w:p w:rsidR="001012C7" w:rsidRDefault="001012C7" w:rsidP="002B72BB">
      <w:pPr>
        <w:spacing w:line="480" w:lineRule="auto"/>
        <w:ind w:left="360" w:right="-180"/>
      </w:pPr>
    </w:p>
    <w:p w:rsidR="001012C7" w:rsidRDefault="001012C7" w:rsidP="002B72BB">
      <w:pPr>
        <w:spacing w:line="480" w:lineRule="auto"/>
        <w:ind w:left="360" w:right="-180"/>
      </w:pPr>
    </w:p>
    <w:p w:rsidR="001012C7" w:rsidRDefault="001012C7" w:rsidP="002B72BB">
      <w:pPr>
        <w:spacing w:line="480" w:lineRule="auto"/>
        <w:ind w:left="360" w:right="-180"/>
      </w:pPr>
    </w:p>
    <w:p w:rsidR="00EF4AE9" w:rsidRDefault="00EF4AE9" w:rsidP="00BC6D01">
      <w:pPr>
        <w:autoSpaceDE w:val="0"/>
        <w:autoSpaceDN w:val="0"/>
        <w:adjustRightInd w:val="0"/>
        <w:spacing w:line="480" w:lineRule="auto"/>
        <w:rPr>
          <w:b/>
          <w:bCs/>
        </w:rPr>
      </w:pPr>
    </w:p>
    <w:p w:rsidR="00EF4AE9" w:rsidRDefault="00EF4AE9" w:rsidP="00EF4AE9">
      <w:pPr>
        <w:autoSpaceDE w:val="0"/>
        <w:autoSpaceDN w:val="0"/>
        <w:adjustRightInd w:val="0"/>
        <w:spacing w:line="480" w:lineRule="auto"/>
        <w:jc w:val="center"/>
        <w:rPr>
          <w:rFonts w:ascii="CMR12" w:eastAsiaTheme="minorHAnsi" w:hAnsi="CMR12" w:cs="CMR12"/>
        </w:rPr>
      </w:pPr>
      <w:r>
        <w:rPr>
          <w:b/>
          <w:bCs/>
        </w:rPr>
        <w:lastRenderedPageBreak/>
        <w:t>Literature R</w:t>
      </w:r>
      <w:r w:rsidR="00BC6D01" w:rsidRPr="00273878">
        <w:rPr>
          <w:b/>
          <w:bCs/>
        </w:rPr>
        <w:t>eview</w:t>
      </w:r>
    </w:p>
    <w:p w:rsidR="00FE329C" w:rsidRDefault="00962901" w:rsidP="00FD4134">
      <w:pPr>
        <w:autoSpaceDE w:val="0"/>
        <w:autoSpaceDN w:val="0"/>
        <w:adjustRightInd w:val="0"/>
        <w:spacing w:line="480" w:lineRule="auto"/>
        <w:rPr>
          <w:rFonts w:asciiTheme="majorBidi" w:eastAsiaTheme="minorHAnsi" w:hAnsiTheme="majorBidi" w:cstheme="majorBidi"/>
        </w:rPr>
      </w:pPr>
      <w:r>
        <w:rPr>
          <w:rFonts w:ascii="CMR12" w:eastAsiaTheme="minorHAnsi" w:hAnsi="CMR12" w:cs="CMR12"/>
        </w:rPr>
        <w:t xml:space="preserve">         </w:t>
      </w:r>
      <w:r w:rsidR="00C10342">
        <w:rPr>
          <w:rFonts w:ascii="CMR12" w:eastAsiaTheme="minorHAnsi" w:hAnsi="CMR12" w:cs="CMR12"/>
        </w:rPr>
        <w:t>Grytten, and</w:t>
      </w:r>
      <w:r w:rsidR="00FD4134">
        <w:rPr>
          <w:rFonts w:ascii="CMR12" w:eastAsiaTheme="minorHAnsi" w:hAnsi="CMR12" w:cs="CMR12"/>
        </w:rPr>
        <w:t xml:space="preserve"> </w:t>
      </w:r>
      <w:r w:rsidR="007F3F66">
        <w:rPr>
          <w:rFonts w:ascii="CMR12" w:eastAsiaTheme="minorHAnsi" w:hAnsi="CMR12" w:cs="CMR12"/>
        </w:rPr>
        <w:t>Hunnes</w:t>
      </w:r>
      <w:r w:rsidR="007F3F66">
        <w:rPr>
          <w:rFonts w:eastAsiaTheme="minorHAnsi"/>
        </w:rPr>
        <w:t xml:space="preserve"> (</w:t>
      </w:r>
      <w:r w:rsidR="00983987">
        <w:rPr>
          <w:rFonts w:eastAsiaTheme="minorHAnsi"/>
        </w:rPr>
        <w:t>2009</w:t>
      </w:r>
      <w:r w:rsidR="00FE329C">
        <w:rPr>
          <w:rFonts w:eastAsiaTheme="minorHAnsi"/>
        </w:rPr>
        <w:t xml:space="preserve">) </w:t>
      </w:r>
      <w:r w:rsidR="009A3C59">
        <w:rPr>
          <w:rFonts w:eastAsiaTheme="minorHAnsi"/>
        </w:rPr>
        <w:t xml:space="preserve">studied </w:t>
      </w:r>
      <w:r w:rsidR="009A3C59">
        <w:rPr>
          <w:rFonts w:asciiTheme="majorBidi" w:eastAsiaTheme="minorHAnsi" w:hAnsiTheme="majorBidi" w:cstheme="majorBidi"/>
        </w:rPr>
        <w:t>i</w:t>
      </w:r>
      <w:r w:rsidR="00FE329C" w:rsidRPr="009A3C59">
        <w:rPr>
          <w:rFonts w:asciiTheme="majorBidi" w:eastAsiaTheme="minorHAnsi" w:hAnsiTheme="majorBidi" w:cstheme="majorBidi"/>
        </w:rPr>
        <w:t>n the 1870s the three Scandinavian countries Denmark, Norway</w:t>
      </w:r>
      <w:r w:rsidR="00EA59A7">
        <w:rPr>
          <w:rFonts w:asciiTheme="majorBidi" w:eastAsiaTheme="minorHAnsi" w:hAnsiTheme="majorBidi" w:cstheme="majorBidi"/>
        </w:rPr>
        <w:t xml:space="preserve"> </w:t>
      </w:r>
      <w:r w:rsidR="00FE329C" w:rsidRPr="009A3C59">
        <w:rPr>
          <w:rFonts w:asciiTheme="majorBidi" w:eastAsiaTheme="minorHAnsi" w:hAnsiTheme="majorBidi" w:cstheme="majorBidi"/>
        </w:rPr>
        <w:t>and Sweden formed the Scandinavian Currency Union. Both the adoption</w:t>
      </w:r>
      <w:r w:rsidR="009A3C59">
        <w:rPr>
          <w:rFonts w:asciiTheme="majorBidi" w:eastAsiaTheme="minorHAnsi" w:hAnsiTheme="majorBidi" w:cstheme="majorBidi"/>
        </w:rPr>
        <w:t xml:space="preserve"> </w:t>
      </w:r>
      <w:r w:rsidR="00FE329C" w:rsidRPr="009A3C59">
        <w:rPr>
          <w:rFonts w:asciiTheme="majorBidi" w:eastAsiaTheme="minorHAnsi" w:hAnsiTheme="majorBidi" w:cstheme="majorBidi"/>
        </w:rPr>
        <w:t>of gold and the monetary union were supposed to lead to price</w:t>
      </w:r>
      <w:r w:rsidR="00FD4134">
        <w:rPr>
          <w:rFonts w:asciiTheme="majorBidi" w:eastAsiaTheme="minorHAnsi" w:hAnsiTheme="majorBidi" w:cstheme="majorBidi"/>
        </w:rPr>
        <w:t xml:space="preserve"> s</w:t>
      </w:r>
      <w:r w:rsidR="00990A63" w:rsidRPr="009A3C59">
        <w:rPr>
          <w:rFonts w:asciiTheme="majorBidi" w:eastAsiaTheme="minorHAnsi" w:hAnsiTheme="majorBidi" w:cstheme="majorBidi"/>
        </w:rPr>
        <w:t>tability</w:t>
      </w:r>
      <w:r w:rsidR="00FE329C" w:rsidRPr="009A3C59">
        <w:rPr>
          <w:rFonts w:asciiTheme="majorBidi" w:eastAsiaTheme="minorHAnsi" w:hAnsiTheme="majorBidi" w:cstheme="majorBidi"/>
        </w:rPr>
        <w:t xml:space="preserve"> in and between these countries. By drawing on new indices</w:t>
      </w:r>
      <w:r w:rsidR="009A3C59">
        <w:rPr>
          <w:rFonts w:asciiTheme="majorBidi" w:eastAsiaTheme="minorHAnsi" w:hAnsiTheme="majorBidi" w:cstheme="majorBidi"/>
        </w:rPr>
        <w:t xml:space="preserve"> </w:t>
      </w:r>
      <w:r w:rsidR="00FE329C" w:rsidRPr="009A3C59">
        <w:rPr>
          <w:rFonts w:asciiTheme="majorBidi" w:eastAsiaTheme="minorHAnsi" w:hAnsiTheme="majorBidi" w:cstheme="majorBidi"/>
        </w:rPr>
        <w:t>of consumer prices the present paper o</w:t>
      </w:r>
      <w:r w:rsidR="009A3C59">
        <w:rPr>
          <w:rFonts w:asciiTheme="majorBidi" w:eastAsiaTheme="minorHAnsi" w:hAnsiTheme="majorBidi" w:cstheme="majorBidi"/>
        </w:rPr>
        <w:t>ff</w:t>
      </w:r>
      <w:r w:rsidR="00FE329C" w:rsidRPr="009A3C59">
        <w:rPr>
          <w:rFonts w:asciiTheme="majorBidi" w:eastAsiaTheme="minorHAnsi" w:hAnsiTheme="majorBidi" w:cstheme="majorBidi"/>
        </w:rPr>
        <w:t>ers an examination of in</w:t>
      </w:r>
      <w:r w:rsidR="009A3C59">
        <w:rPr>
          <w:rFonts w:asciiTheme="majorBidi" w:eastAsiaTheme="minorHAnsi" w:hAnsiTheme="majorBidi" w:cstheme="majorBidi"/>
        </w:rPr>
        <w:t xml:space="preserve">flation </w:t>
      </w:r>
      <w:r w:rsidR="00FE329C" w:rsidRPr="009A3C59">
        <w:rPr>
          <w:rFonts w:asciiTheme="majorBidi" w:eastAsiaTheme="minorHAnsi" w:hAnsiTheme="majorBidi" w:cstheme="majorBidi"/>
        </w:rPr>
        <w:t>dynamics, de</w:t>
      </w:r>
      <w:r w:rsidR="009A3C59">
        <w:rPr>
          <w:rFonts w:asciiTheme="majorBidi" w:eastAsiaTheme="minorHAnsi" w:hAnsiTheme="majorBidi" w:cstheme="majorBidi"/>
        </w:rPr>
        <w:t>fi</w:t>
      </w:r>
      <w:r w:rsidR="00FE329C" w:rsidRPr="009A3C59">
        <w:rPr>
          <w:rFonts w:asciiTheme="majorBidi" w:eastAsiaTheme="minorHAnsi" w:hAnsiTheme="majorBidi" w:cstheme="majorBidi"/>
        </w:rPr>
        <w:t>ned as price stability and in</w:t>
      </w:r>
      <w:r w:rsidR="009A3C59">
        <w:rPr>
          <w:rFonts w:asciiTheme="majorBidi" w:eastAsiaTheme="minorHAnsi" w:hAnsiTheme="majorBidi" w:cstheme="majorBidi"/>
        </w:rPr>
        <w:t>fl</w:t>
      </w:r>
      <w:r w:rsidR="00FE329C" w:rsidRPr="009A3C59">
        <w:rPr>
          <w:rFonts w:asciiTheme="majorBidi" w:eastAsiaTheme="minorHAnsi" w:hAnsiTheme="majorBidi" w:cstheme="majorBidi"/>
        </w:rPr>
        <w:t>ation persistence, in the</w:t>
      </w:r>
      <w:r w:rsidR="009A3C59">
        <w:rPr>
          <w:rFonts w:asciiTheme="majorBidi" w:eastAsiaTheme="minorHAnsi" w:hAnsiTheme="majorBidi" w:cstheme="majorBidi"/>
        </w:rPr>
        <w:t xml:space="preserve"> </w:t>
      </w:r>
      <w:r w:rsidR="00FE329C" w:rsidRPr="009A3C59">
        <w:rPr>
          <w:rFonts w:asciiTheme="majorBidi" w:eastAsiaTheme="minorHAnsi" w:hAnsiTheme="majorBidi" w:cstheme="majorBidi"/>
        </w:rPr>
        <w:t>periphery of Scandinavia during the heyday of the international gold</w:t>
      </w:r>
      <w:r w:rsidR="009A3C59">
        <w:rPr>
          <w:rFonts w:asciiTheme="majorBidi" w:eastAsiaTheme="minorHAnsi" w:hAnsiTheme="majorBidi" w:cstheme="majorBidi"/>
        </w:rPr>
        <w:t xml:space="preserve"> </w:t>
      </w:r>
      <w:r w:rsidR="00FE329C" w:rsidRPr="009A3C59">
        <w:rPr>
          <w:rFonts w:asciiTheme="majorBidi" w:eastAsiaTheme="minorHAnsi" w:hAnsiTheme="majorBidi" w:cstheme="majorBidi"/>
        </w:rPr>
        <w:t>standard.</w:t>
      </w:r>
    </w:p>
    <w:p w:rsidR="007058C9" w:rsidRDefault="007058C9" w:rsidP="00FD4134">
      <w:pPr>
        <w:autoSpaceDE w:val="0"/>
        <w:autoSpaceDN w:val="0"/>
        <w:adjustRightInd w:val="0"/>
        <w:spacing w:line="480" w:lineRule="auto"/>
        <w:rPr>
          <w:rFonts w:eastAsiaTheme="minorHAnsi"/>
        </w:rPr>
      </w:pPr>
    </w:p>
    <w:p w:rsidR="001D04D2" w:rsidRPr="001D04D2" w:rsidRDefault="007058C9" w:rsidP="007058C9">
      <w:pPr>
        <w:autoSpaceDE w:val="0"/>
        <w:autoSpaceDN w:val="0"/>
        <w:adjustRightInd w:val="0"/>
        <w:spacing w:line="480" w:lineRule="auto"/>
        <w:rPr>
          <w:rFonts w:asciiTheme="majorBidi" w:eastAsiaTheme="minorHAnsi" w:hAnsiTheme="majorBidi" w:cstheme="majorBidi"/>
        </w:rPr>
      </w:pPr>
      <w:r>
        <w:rPr>
          <w:rFonts w:asciiTheme="majorBidi" w:eastAsiaTheme="minorHAnsi" w:hAnsiTheme="majorBidi" w:cstheme="majorBidi"/>
        </w:rPr>
        <w:t xml:space="preserve">Bordo, </w:t>
      </w:r>
      <w:r w:rsidR="001D04D2" w:rsidRPr="001D04D2">
        <w:rPr>
          <w:rFonts w:asciiTheme="majorBidi" w:eastAsiaTheme="minorHAnsi" w:hAnsiTheme="majorBidi" w:cstheme="majorBidi"/>
        </w:rPr>
        <w:t>Dittmar</w:t>
      </w:r>
      <w:r>
        <w:rPr>
          <w:rFonts w:asciiTheme="majorBidi" w:eastAsiaTheme="minorHAnsi" w:hAnsiTheme="majorBidi" w:cstheme="majorBidi"/>
        </w:rPr>
        <w:t xml:space="preserve"> and </w:t>
      </w:r>
      <w:r w:rsidR="001D04D2" w:rsidRPr="001D04D2">
        <w:rPr>
          <w:rFonts w:asciiTheme="majorBidi" w:eastAsiaTheme="minorHAnsi" w:hAnsiTheme="majorBidi" w:cstheme="majorBidi"/>
        </w:rPr>
        <w:t>Gavin</w:t>
      </w:r>
      <w:r>
        <w:rPr>
          <w:rFonts w:asciiTheme="majorBidi" w:eastAsiaTheme="minorHAnsi" w:hAnsiTheme="majorBidi" w:cstheme="majorBidi"/>
        </w:rPr>
        <w:t xml:space="preserve"> (2003) have concluded that t</w:t>
      </w:r>
      <w:r w:rsidR="001D04D2" w:rsidRPr="001D04D2">
        <w:rPr>
          <w:rFonts w:asciiTheme="majorBidi" w:eastAsiaTheme="minorHAnsi" w:hAnsiTheme="majorBidi" w:cstheme="majorBidi"/>
        </w:rPr>
        <w:t>he classical gold standard has long been associated with long-run price stability.</w:t>
      </w:r>
    </w:p>
    <w:p w:rsidR="001D04D2" w:rsidRPr="001D04D2" w:rsidRDefault="001D04D2" w:rsidP="001D04D2">
      <w:pPr>
        <w:autoSpaceDE w:val="0"/>
        <w:autoSpaceDN w:val="0"/>
        <w:adjustRightInd w:val="0"/>
        <w:spacing w:line="480" w:lineRule="auto"/>
        <w:rPr>
          <w:rFonts w:asciiTheme="majorBidi" w:eastAsiaTheme="minorHAnsi" w:hAnsiTheme="majorBidi" w:cstheme="majorBidi"/>
        </w:rPr>
      </w:pPr>
      <w:r w:rsidRPr="001D04D2">
        <w:rPr>
          <w:rFonts w:asciiTheme="majorBidi" w:eastAsiaTheme="minorHAnsi" w:hAnsiTheme="majorBidi" w:cstheme="majorBidi"/>
        </w:rPr>
        <w:t>But short-run price variability led critics of the gold standard to propose reforms that look</w:t>
      </w:r>
      <w:r>
        <w:rPr>
          <w:rFonts w:asciiTheme="majorBidi" w:eastAsiaTheme="minorHAnsi" w:hAnsiTheme="majorBidi" w:cstheme="majorBidi"/>
        </w:rPr>
        <w:t xml:space="preserve"> </w:t>
      </w:r>
      <w:r w:rsidRPr="001D04D2">
        <w:rPr>
          <w:rFonts w:asciiTheme="majorBidi" w:eastAsiaTheme="minorHAnsi" w:hAnsiTheme="majorBidi" w:cstheme="majorBidi"/>
        </w:rPr>
        <w:t xml:space="preserve">much like modern versions of </w:t>
      </w:r>
      <w:r>
        <w:rPr>
          <w:rFonts w:asciiTheme="majorBidi" w:eastAsiaTheme="minorHAnsi" w:hAnsiTheme="majorBidi" w:cstheme="majorBidi"/>
        </w:rPr>
        <w:t>price path targeting. It uses</w:t>
      </w:r>
      <w:r w:rsidRPr="001D04D2">
        <w:rPr>
          <w:rFonts w:asciiTheme="majorBidi" w:eastAsiaTheme="minorHAnsi" w:hAnsiTheme="majorBidi" w:cstheme="majorBidi"/>
        </w:rPr>
        <w:t xml:space="preserve"> a dynamic stochastic</w:t>
      </w:r>
    </w:p>
    <w:p w:rsidR="001D04D2" w:rsidRPr="001D04D2" w:rsidRDefault="001D04D2" w:rsidP="001D04D2">
      <w:pPr>
        <w:autoSpaceDE w:val="0"/>
        <w:autoSpaceDN w:val="0"/>
        <w:adjustRightInd w:val="0"/>
        <w:spacing w:line="480" w:lineRule="auto"/>
        <w:rPr>
          <w:rFonts w:asciiTheme="majorBidi" w:eastAsiaTheme="minorHAnsi" w:hAnsiTheme="majorBidi" w:cstheme="majorBidi"/>
        </w:rPr>
      </w:pPr>
      <w:r w:rsidRPr="001D04D2">
        <w:rPr>
          <w:rFonts w:asciiTheme="majorBidi" w:eastAsiaTheme="minorHAnsi" w:hAnsiTheme="majorBidi" w:cstheme="majorBidi"/>
        </w:rPr>
        <w:t>general equilibrium model to examine price dynamics under alternative policy regimes.</w:t>
      </w:r>
    </w:p>
    <w:p w:rsidR="001D04D2" w:rsidRPr="001D04D2" w:rsidRDefault="001D04D2" w:rsidP="001D04D2">
      <w:pPr>
        <w:autoSpaceDE w:val="0"/>
        <w:autoSpaceDN w:val="0"/>
        <w:adjustRightInd w:val="0"/>
        <w:spacing w:line="480" w:lineRule="auto"/>
        <w:rPr>
          <w:rFonts w:asciiTheme="majorBidi" w:eastAsiaTheme="minorHAnsi" w:hAnsiTheme="majorBidi" w:cstheme="majorBidi"/>
        </w:rPr>
      </w:pPr>
      <w:r w:rsidRPr="001D04D2">
        <w:rPr>
          <w:rFonts w:asciiTheme="majorBidi" w:eastAsiaTheme="minorHAnsi" w:hAnsiTheme="majorBidi" w:cstheme="majorBidi"/>
        </w:rPr>
        <w:t>In the model, a pure inflation target provides more short-run price stability than does the</w:t>
      </w:r>
      <w:r>
        <w:rPr>
          <w:rFonts w:asciiTheme="majorBidi" w:eastAsiaTheme="minorHAnsi" w:hAnsiTheme="majorBidi" w:cstheme="majorBidi"/>
        </w:rPr>
        <w:t xml:space="preserve"> </w:t>
      </w:r>
      <w:r w:rsidRPr="001D04D2">
        <w:rPr>
          <w:rFonts w:asciiTheme="majorBidi" w:eastAsiaTheme="minorHAnsi" w:hAnsiTheme="majorBidi" w:cstheme="majorBidi"/>
        </w:rPr>
        <w:t>gold standard and, although it introduces a unit root into the price level, it leads to as</w:t>
      </w:r>
      <w:r>
        <w:rPr>
          <w:rFonts w:asciiTheme="majorBidi" w:eastAsiaTheme="minorHAnsi" w:hAnsiTheme="majorBidi" w:cstheme="majorBidi"/>
        </w:rPr>
        <w:t xml:space="preserve"> </w:t>
      </w:r>
      <w:r w:rsidRPr="001D04D2">
        <w:rPr>
          <w:rFonts w:asciiTheme="majorBidi" w:eastAsiaTheme="minorHAnsi" w:hAnsiTheme="majorBidi" w:cstheme="majorBidi"/>
        </w:rPr>
        <w:t>much long-term price stability as does the gold standard for horizons shorter than 20</w:t>
      </w:r>
      <w:r>
        <w:rPr>
          <w:rFonts w:asciiTheme="majorBidi" w:eastAsiaTheme="minorHAnsi" w:hAnsiTheme="majorBidi" w:cstheme="majorBidi"/>
        </w:rPr>
        <w:t xml:space="preserve"> </w:t>
      </w:r>
      <w:r w:rsidRPr="001D04D2">
        <w:rPr>
          <w:rFonts w:asciiTheme="majorBidi" w:eastAsiaTheme="minorHAnsi" w:hAnsiTheme="majorBidi" w:cstheme="majorBidi"/>
        </w:rPr>
        <w:t>years. Relative to these regimes, Fisher’s compensated dollar (or pure price path</w:t>
      </w:r>
    </w:p>
    <w:p w:rsidR="001D04D2" w:rsidRPr="001D04D2" w:rsidRDefault="001D04D2" w:rsidP="001D04D2">
      <w:pPr>
        <w:autoSpaceDE w:val="0"/>
        <w:autoSpaceDN w:val="0"/>
        <w:adjustRightInd w:val="0"/>
        <w:spacing w:line="480" w:lineRule="auto"/>
        <w:rPr>
          <w:rFonts w:asciiTheme="majorBidi" w:eastAsiaTheme="minorHAnsi" w:hAnsiTheme="majorBidi" w:cstheme="majorBidi"/>
        </w:rPr>
      </w:pPr>
      <w:r w:rsidRPr="001D04D2">
        <w:rPr>
          <w:rFonts w:asciiTheme="majorBidi" w:eastAsiaTheme="minorHAnsi" w:hAnsiTheme="majorBidi" w:cstheme="majorBidi"/>
        </w:rPr>
        <w:t>targeting) reduces inflation uncertainty by an order of magnitude at all horizons. A Taylor</w:t>
      </w:r>
      <w:r>
        <w:rPr>
          <w:rFonts w:asciiTheme="majorBidi" w:eastAsiaTheme="minorHAnsi" w:hAnsiTheme="majorBidi" w:cstheme="majorBidi"/>
        </w:rPr>
        <w:t xml:space="preserve"> </w:t>
      </w:r>
      <w:r w:rsidRPr="001D04D2">
        <w:rPr>
          <w:rFonts w:asciiTheme="majorBidi" w:eastAsiaTheme="minorHAnsi" w:hAnsiTheme="majorBidi" w:cstheme="majorBidi"/>
        </w:rPr>
        <w:t>rule with its relatively large weight on output leads to large uncertainty about inflation at</w:t>
      </w:r>
      <w:r>
        <w:rPr>
          <w:rFonts w:asciiTheme="majorBidi" w:eastAsiaTheme="minorHAnsi" w:hAnsiTheme="majorBidi" w:cstheme="majorBidi"/>
        </w:rPr>
        <w:t xml:space="preserve"> </w:t>
      </w:r>
      <w:r w:rsidRPr="001D04D2">
        <w:rPr>
          <w:rFonts w:asciiTheme="majorBidi" w:eastAsiaTheme="minorHAnsi" w:hAnsiTheme="majorBidi" w:cstheme="majorBidi"/>
        </w:rPr>
        <w:t>long horizons. This long-run inflation uncertainty can be largely eliminated by</w:t>
      </w:r>
      <w:r w:rsidR="00BD3DD5">
        <w:rPr>
          <w:rFonts w:asciiTheme="majorBidi" w:eastAsiaTheme="minorHAnsi" w:hAnsiTheme="majorBidi" w:cstheme="majorBidi"/>
        </w:rPr>
        <w:t xml:space="preserve"> </w:t>
      </w:r>
      <w:r w:rsidRPr="001D04D2">
        <w:rPr>
          <w:rFonts w:asciiTheme="majorBidi" w:eastAsiaTheme="minorHAnsi" w:hAnsiTheme="majorBidi" w:cstheme="majorBidi"/>
        </w:rPr>
        <w:t>introducing an additional response to the deviation of the price level from a desired path.</w:t>
      </w:r>
    </w:p>
    <w:p w:rsidR="00236310" w:rsidRPr="00236310" w:rsidRDefault="007058C9" w:rsidP="00236310">
      <w:pPr>
        <w:autoSpaceDE w:val="0"/>
        <w:autoSpaceDN w:val="0"/>
        <w:adjustRightInd w:val="0"/>
        <w:spacing w:line="480" w:lineRule="auto"/>
        <w:rPr>
          <w:rFonts w:asciiTheme="majorBidi" w:eastAsiaTheme="minorHAnsi" w:hAnsiTheme="majorBidi" w:cstheme="majorBidi"/>
        </w:rPr>
      </w:pPr>
      <w:r>
        <w:rPr>
          <w:rFonts w:asciiTheme="majorBidi" w:eastAsiaTheme="minorHAnsi" w:hAnsiTheme="majorBidi" w:cstheme="majorBidi"/>
        </w:rPr>
        <w:lastRenderedPageBreak/>
        <w:t>Bayoumi and</w:t>
      </w:r>
      <w:r w:rsidR="00236310" w:rsidRPr="00236310">
        <w:rPr>
          <w:rFonts w:asciiTheme="majorBidi" w:eastAsiaTheme="minorHAnsi" w:hAnsiTheme="majorBidi" w:cstheme="majorBidi"/>
        </w:rPr>
        <w:t xml:space="preserve"> Eichengreen (1995</w:t>
      </w:r>
      <w:r w:rsidR="00236310">
        <w:rPr>
          <w:rFonts w:asciiTheme="majorBidi" w:eastAsiaTheme="minorHAnsi" w:hAnsiTheme="majorBidi" w:cstheme="majorBidi"/>
        </w:rPr>
        <w:t xml:space="preserve">) examined </w:t>
      </w:r>
      <w:r w:rsidR="00236310" w:rsidRPr="00236310">
        <w:rPr>
          <w:rFonts w:asciiTheme="majorBidi" w:eastAsiaTheme="minorHAnsi" w:hAnsiTheme="majorBidi" w:cstheme="majorBidi"/>
        </w:rPr>
        <w:t>some popular explanations for the smooth operation</w:t>
      </w:r>
      <w:r w:rsidR="00236310">
        <w:rPr>
          <w:rFonts w:asciiTheme="majorBidi" w:eastAsiaTheme="minorHAnsi" w:hAnsiTheme="majorBidi" w:cstheme="majorBidi"/>
        </w:rPr>
        <w:t xml:space="preserve"> </w:t>
      </w:r>
      <w:r w:rsidR="00236310" w:rsidRPr="00236310">
        <w:rPr>
          <w:rFonts w:asciiTheme="majorBidi" w:eastAsiaTheme="minorHAnsi" w:hAnsiTheme="majorBidi" w:cstheme="majorBidi"/>
        </w:rPr>
        <w:t>o</w:t>
      </w:r>
      <w:r w:rsidR="00236310">
        <w:rPr>
          <w:rFonts w:asciiTheme="majorBidi" w:eastAsiaTheme="minorHAnsi" w:hAnsiTheme="majorBidi" w:cstheme="majorBidi"/>
        </w:rPr>
        <w:t>f the pre-1914 gold standard. He</w:t>
      </w:r>
      <w:r w:rsidR="00C067BE">
        <w:rPr>
          <w:rFonts w:asciiTheme="majorBidi" w:eastAsiaTheme="minorHAnsi" w:hAnsiTheme="majorBidi" w:cstheme="majorBidi"/>
        </w:rPr>
        <w:t xml:space="preserve"> has found </w:t>
      </w:r>
      <w:r w:rsidR="00C067BE" w:rsidRPr="00236310">
        <w:rPr>
          <w:rFonts w:asciiTheme="majorBidi" w:eastAsiaTheme="minorHAnsi" w:hAnsiTheme="majorBidi" w:cstheme="majorBidi"/>
        </w:rPr>
        <w:t>that</w:t>
      </w:r>
      <w:r w:rsidR="00236310" w:rsidRPr="00236310">
        <w:rPr>
          <w:rFonts w:asciiTheme="majorBidi" w:eastAsiaTheme="minorHAnsi" w:hAnsiTheme="majorBidi" w:cstheme="majorBidi"/>
        </w:rPr>
        <w:t xml:space="preserve"> the rapid adjustment of</w:t>
      </w:r>
      <w:r w:rsidR="00236310">
        <w:rPr>
          <w:rFonts w:asciiTheme="majorBidi" w:eastAsiaTheme="minorHAnsi" w:hAnsiTheme="majorBidi" w:cstheme="majorBidi"/>
        </w:rPr>
        <w:t xml:space="preserve"> </w:t>
      </w:r>
      <w:r w:rsidR="00236310" w:rsidRPr="00236310">
        <w:rPr>
          <w:rFonts w:asciiTheme="majorBidi" w:eastAsiaTheme="minorHAnsi" w:hAnsiTheme="majorBidi" w:cstheme="majorBidi"/>
        </w:rPr>
        <w:t>economies to underlying disturbances played an important role in stabilizing</w:t>
      </w:r>
      <w:r w:rsidR="00236310">
        <w:rPr>
          <w:rFonts w:asciiTheme="majorBidi" w:eastAsiaTheme="minorHAnsi" w:hAnsiTheme="majorBidi" w:cstheme="majorBidi"/>
        </w:rPr>
        <w:t xml:space="preserve"> </w:t>
      </w:r>
      <w:r w:rsidR="00236310" w:rsidRPr="00236310">
        <w:rPr>
          <w:rFonts w:asciiTheme="majorBidi" w:eastAsiaTheme="minorHAnsi" w:hAnsiTheme="majorBidi" w:cstheme="majorBidi"/>
        </w:rPr>
        <w:t>output and employment under the gold standard system, but no evidence that</w:t>
      </w:r>
      <w:r w:rsidR="00236310">
        <w:rPr>
          <w:rFonts w:asciiTheme="majorBidi" w:eastAsiaTheme="minorHAnsi" w:hAnsiTheme="majorBidi" w:cstheme="majorBidi"/>
        </w:rPr>
        <w:t xml:space="preserve"> </w:t>
      </w:r>
      <w:r w:rsidR="00236310" w:rsidRPr="00236310">
        <w:rPr>
          <w:rFonts w:asciiTheme="majorBidi" w:eastAsiaTheme="minorHAnsi" w:hAnsiTheme="majorBidi" w:cstheme="majorBidi"/>
        </w:rPr>
        <w:t>this success also reflected relatively small underlying disturbances.</w:t>
      </w:r>
    </w:p>
    <w:p w:rsidR="00236310" w:rsidRPr="00236310" w:rsidRDefault="00236310" w:rsidP="00236310">
      <w:pPr>
        <w:autoSpaceDE w:val="0"/>
        <w:autoSpaceDN w:val="0"/>
        <w:adjustRightInd w:val="0"/>
        <w:spacing w:line="480" w:lineRule="auto"/>
        <w:rPr>
          <w:rFonts w:asciiTheme="majorBidi" w:eastAsiaTheme="minorHAnsi" w:hAnsiTheme="majorBidi" w:cstheme="majorBidi"/>
        </w:rPr>
      </w:pPr>
      <w:r w:rsidRPr="00236310">
        <w:rPr>
          <w:rFonts w:asciiTheme="majorBidi" w:eastAsiaTheme="minorHAnsi" w:hAnsiTheme="majorBidi" w:cstheme="majorBidi"/>
        </w:rPr>
        <w:t>Finally, the paper also suggests an explanation for the evolution of the</w:t>
      </w:r>
    </w:p>
    <w:p w:rsidR="00236310" w:rsidRDefault="00236310" w:rsidP="00236310">
      <w:pPr>
        <w:autoSpaceDE w:val="0"/>
        <w:autoSpaceDN w:val="0"/>
        <w:adjustRightInd w:val="0"/>
        <w:spacing w:line="480" w:lineRule="auto"/>
        <w:rPr>
          <w:rFonts w:asciiTheme="majorBidi" w:eastAsiaTheme="minorHAnsi" w:hAnsiTheme="majorBidi" w:cstheme="majorBidi"/>
        </w:rPr>
      </w:pPr>
      <w:r w:rsidRPr="00236310">
        <w:rPr>
          <w:rFonts w:asciiTheme="majorBidi" w:eastAsiaTheme="minorHAnsi" w:hAnsiTheme="majorBidi" w:cstheme="majorBidi"/>
        </w:rPr>
        <w:t>International monetary system based on growing nominal inertia over time.</w:t>
      </w:r>
    </w:p>
    <w:p w:rsidR="00E35B65" w:rsidRDefault="00E35B65" w:rsidP="00236310">
      <w:pPr>
        <w:autoSpaceDE w:val="0"/>
        <w:autoSpaceDN w:val="0"/>
        <w:adjustRightInd w:val="0"/>
        <w:spacing w:line="480" w:lineRule="auto"/>
        <w:rPr>
          <w:rFonts w:asciiTheme="majorBidi" w:eastAsiaTheme="minorHAnsi" w:hAnsiTheme="majorBidi" w:cstheme="majorBidi"/>
        </w:rPr>
      </w:pPr>
    </w:p>
    <w:p w:rsidR="006F35B7" w:rsidRPr="00FD4134" w:rsidRDefault="00D36996" w:rsidP="00FD4134">
      <w:pPr>
        <w:spacing w:line="480" w:lineRule="auto"/>
        <w:rPr>
          <w:rFonts w:asciiTheme="majorBidi" w:hAnsiTheme="majorBidi" w:cstheme="majorBidi"/>
        </w:rPr>
      </w:pPr>
      <w:r>
        <w:rPr>
          <w:rStyle w:val="apple-style-span"/>
          <w:rFonts w:asciiTheme="majorBidi" w:hAnsiTheme="majorBidi" w:cstheme="majorBidi"/>
        </w:rPr>
        <w:t xml:space="preserve">Meissner </w:t>
      </w:r>
      <w:r w:rsidR="002D5F9F">
        <w:rPr>
          <w:rStyle w:val="apple-style-span"/>
          <w:rFonts w:asciiTheme="majorBidi" w:hAnsiTheme="majorBidi" w:cstheme="majorBidi"/>
        </w:rPr>
        <w:t>(</w:t>
      </w:r>
      <w:r w:rsidR="00E35B65" w:rsidRPr="00E35B65">
        <w:rPr>
          <w:rStyle w:val="apple-style-span"/>
          <w:rFonts w:asciiTheme="majorBidi" w:hAnsiTheme="majorBidi" w:cstheme="majorBidi"/>
        </w:rPr>
        <w:t>2002)</w:t>
      </w:r>
      <w:r w:rsidR="007058C9">
        <w:rPr>
          <w:rStyle w:val="apple-style-span"/>
          <w:rFonts w:asciiTheme="majorBidi" w:hAnsiTheme="majorBidi" w:cstheme="majorBidi"/>
        </w:rPr>
        <w:t xml:space="preserve"> </w:t>
      </w:r>
      <w:r w:rsidR="00E35B65" w:rsidRPr="00E35B65">
        <w:rPr>
          <w:rStyle w:val="apple-style-span"/>
          <w:rFonts w:asciiTheme="majorBidi" w:hAnsiTheme="majorBidi" w:cstheme="majorBidi"/>
        </w:rPr>
        <w:t xml:space="preserve">this paper provides a cross-country analysis of why countries adopted when they did. </w:t>
      </w:r>
      <w:r w:rsidR="00E35B65">
        <w:rPr>
          <w:rStyle w:val="apple-style-span"/>
          <w:rFonts w:asciiTheme="majorBidi" w:hAnsiTheme="majorBidi" w:cstheme="majorBidi"/>
        </w:rPr>
        <w:t>The research uses</w:t>
      </w:r>
      <w:r w:rsidR="00E35B65" w:rsidRPr="00E35B65">
        <w:rPr>
          <w:rStyle w:val="apple-style-span"/>
          <w:rFonts w:asciiTheme="majorBidi" w:hAnsiTheme="majorBidi" w:cstheme="majorBidi"/>
        </w:rPr>
        <w:t xml:space="preserve"> duration analysis to show that network externalities operating through trade channels help explain the pattern of diffusion of the</w:t>
      </w:r>
      <w:r w:rsidR="00E35B65" w:rsidRPr="00E35B65">
        <w:rPr>
          <w:rStyle w:val="apple-converted-space"/>
          <w:rFonts w:asciiTheme="majorBidi" w:hAnsiTheme="majorBidi" w:cstheme="majorBidi"/>
        </w:rPr>
        <w:t> </w:t>
      </w:r>
      <w:r w:rsidR="00E35B65" w:rsidRPr="00E35B65">
        <w:rPr>
          <w:rStyle w:val="searchtermshighlighted"/>
          <w:rFonts w:asciiTheme="majorBidi" w:hAnsiTheme="majorBidi" w:cstheme="majorBidi"/>
        </w:rPr>
        <w:t>gold</w:t>
      </w:r>
      <w:r w:rsidR="00E35B65" w:rsidRPr="00E35B65">
        <w:rPr>
          <w:rStyle w:val="apple-converted-space"/>
          <w:rFonts w:asciiTheme="majorBidi" w:hAnsiTheme="majorBidi" w:cstheme="majorBidi"/>
        </w:rPr>
        <w:t> </w:t>
      </w:r>
      <w:r w:rsidR="00E35B65" w:rsidRPr="00E35B65">
        <w:rPr>
          <w:rStyle w:val="searchtermshighlighted"/>
          <w:rFonts w:asciiTheme="majorBidi" w:hAnsiTheme="majorBidi" w:cstheme="majorBidi"/>
        </w:rPr>
        <w:t>standard</w:t>
      </w:r>
      <w:r w:rsidR="00E35B65" w:rsidRPr="00E35B65">
        <w:rPr>
          <w:rStyle w:val="apple-style-span"/>
          <w:rFonts w:asciiTheme="majorBidi" w:hAnsiTheme="majorBidi" w:cstheme="majorBidi"/>
        </w:rPr>
        <w:t>. Countries adopted the</w:t>
      </w:r>
      <w:r w:rsidR="00E35B65" w:rsidRPr="00E35B65">
        <w:rPr>
          <w:rStyle w:val="apple-converted-space"/>
          <w:rFonts w:asciiTheme="majorBidi" w:hAnsiTheme="majorBidi" w:cstheme="majorBidi"/>
        </w:rPr>
        <w:t> </w:t>
      </w:r>
      <w:r w:rsidR="00E35B65" w:rsidRPr="00E35B65">
        <w:rPr>
          <w:rStyle w:val="searchtermshighlighted"/>
          <w:rFonts w:asciiTheme="majorBidi" w:hAnsiTheme="majorBidi" w:cstheme="majorBidi"/>
        </w:rPr>
        <w:t>gold standard</w:t>
      </w:r>
      <w:r w:rsidR="00E35B65" w:rsidRPr="00E35B65">
        <w:rPr>
          <w:rStyle w:val="apple-converted-space"/>
          <w:rFonts w:asciiTheme="majorBidi" w:hAnsiTheme="majorBidi" w:cstheme="majorBidi"/>
        </w:rPr>
        <w:t> </w:t>
      </w:r>
      <w:r w:rsidR="00E35B65" w:rsidRPr="00E35B65">
        <w:rPr>
          <w:rStyle w:val="apple-style-span"/>
          <w:rFonts w:asciiTheme="majorBidi" w:hAnsiTheme="majorBidi" w:cstheme="majorBidi"/>
        </w:rPr>
        <w:t>sooner when they had a large share of trade with other</w:t>
      </w:r>
      <w:r w:rsidR="00E35B65" w:rsidRPr="00E35B65">
        <w:rPr>
          <w:rStyle w:val="apple-converted-space"/>
          <w:rFonts w:asciiTheme="majorBidi" w:hAnsiTheme="majorBidi" w:cstheme="majorBidi"/>
        </w:rPr>
        <w:t> </w:t>
      </w:r>
      <w:r w:rsidR="00E35B65" w:rsidRPr="00E35B65">
        <w:rPr>
          <w:rStyle w:val="searchtermshighlighted"/>
          <w:rFonts w:asciiTheme="majorBidi" w:hAnsiTheme="majorBidi" w:cstheme="majorBidi"/>
        </w:rPr>
        <w:t>gold</w:t>
      </w:r>
      <w:r w:rsidR="00E35B65" w:rsidRPr="00E35B65">
        <w:rPr>
          <w:rStyle w:val="apple-converted-space"/>
          <w:rFonts w:asciiTheme="majorBidi" w:hAnsiTheme="majorBidi" w:cstheme="majorBidi"/>
        </w:rPr>
        <w:t> </w:t>
      </w:r>
      <w:r w:rsidR="00E35B65" w:rsidRPr="00E35B65">
        <w:rPr>
          <w:rStyle w:val="apple-style-span"/>
          <w:rFonts w:asciiTheme="majorBidi" w:hAnsiTheme="majorBidi" w:cstheme="majorBidi"/>
        </w:rPr>
        <w:t>countries relative to GDP. The quality of the financial system also played a role. Support is found for the idea that a weak</w:t>
      </w:r>
      <w:r w:rsidR="00E35B65" w:rsidRPr="00E35B65">
        <w:rPr>
          <w:rStyle w:val="apple-converted-space"/>
          <w:rFonts w:asciiTheme="majorBidi" w:hAnsiTheme="majorBidi" w:cstheme="majorBidi"/>
        </w:rPr>
        <w:t> </w:t>
      </w:r>
      <w:r w:rsidR="00E35B65" w:rsidRPr="00E35B65">
        <w:rPr>
          <w:rStyle w:val="searchtermshighlighted"/>
          <w:rFonts w:asciiTheme="majorBidi" w:hAnsiTheme="majorBidi" w:cstheme="majorBidi"/>
        </w:rPr>
        <w:t>gold</w:t>
      </w:r>
      <w:r w:rsidR="00E35B65" w:rsidRPr="00E35B65">
        <w:rPr>
          <w:rStyle w:val="apple-converted-space"/>
          <w:rFonts w:asciiTheme="majorBidi" w:hAnsiTheme="majorBidi" w:cstheme="majorBidi"/>
        </w:rPr>
        <w:t> </w:t>
      </w:r>
      <w:r w:rsidR="00E35B65" w:rsidRPr="00E35B65">
        <w:rPr>
          <w:rStyle w:val="apple-style-span"/>
          <w:rFonts w:asciiTheme="majorBidi" w:hAnsiTheme="majorBidi" w:cstheme="majorBidi"/>
        </w:rPr>
        <w:t>backing for paper currency emissions, possibly because of an unsustainable fiscal position or an un-sound banking system, delayed adoption. A large public debt burden also led to a later transition. Data are also consistent with the idea that nations adopted the</w:t>
      </w:r>
      <w:r w:rsidR="00E35B65" w:rsidRPr="00E35B65">
        <w:rPr>
          <w:rStyle w:val="apple-converted-space"/>
          <w:rFonts w:asciiTheme="majorBidi" w:hAnsiTheme="majorBidi" w:cstheme="majorBidi"/>
        </w:rPr>
        <w:t> </w:t>
      </w:r>
      <w:r w:rsidR="00E35B65" w:rsidRPr="00E35B65">
        <w:rPr>
          <w:rStyle w:val="searchtermshighlighted"/>
          <w:rFonts w:asciiTheme="majorBidi" w:hAnsiTheme="majorBidi" w:cstheme="majorBidi"/>
        </w:rPr>
        <w:t>gold</w:t>
      </w:r>
      <w:r w:rsidR="00E35B65" w:rsidRPr="00E35B65">
        <w:rPr>
          <w:rStyle w:val="apple-converted-space"/>
          <w:rFonts w:asciiTheme="majorBidi" w:hAnsiTheme="majorBidi" w:cstheme="majorBidi"/>
        </w:rPr>
        <w:t> </w:t>
      </w:r>
      <w:r w:rsidR="00E35B65" w:rsidRPr="00E35B65">
        <w:rPr>
          <w:rStyle w:val="searchtermshighlighted"/>
          <w:rFonts w:asciiTheme="majorBidi" w:hAnsiTheme="majorBidi" w:cstheme="majorBidi"/>
        </w:rPr>
        <w:t>standard</w:t>
      </w:r>
      <w:r w:rsidR="00E35B65" w:rsidRPr="00E35B65">
        <w:rPr>
          <w:rStyle w:val="apple-converted-space"/>
          <w:rFonts w:asciiTheme="majorBidi" w:hAnsiTheme="majorBidi" w:cstheme="majorBidi"/>
        </w:rPr>
        <w:t> </w:t>
      </w:r>
      <w:r w:rsidR="00E35B65" w:rsidRPr="00E35B65">
        <w:rPr>
          <w:rStyle w:val="apple-style-span"/>
          <w:rFonts w:asciiTheme="majorBidi" w:hAnsiTheme="majorBidi" w:cstheme="majorBidi"/>
        </w:rPr>
        <w:t xml:space="preserve">earlier to lower the costs of borrowing on </w:t>
      </w:r>
      <w:r w:rsidR="00E35B65">
        <w:rPr>
          <w:rStyle w:val="apple-style-span"/>
          <w:rFonts w:asciiTheme="majorBidi" w:hAnsiTheme="majorBidi" w:cstheme="majorBidi"/>
        </w:rPr>
        <w:t>international capital markets. The research</w:t>
      </w:r>
      <w:r w:rsidR="00E35B65" w:rsidRPr="00E35B65">
        <w:rPr>
          <w:rStyle w:val="apple-style-span"/>
          <w:rFonts w:asciiTheme="majorBidi" w:hAnsiTheme="majorBidi" w:cstheme="majorBidi"/>
        </w:rPr>
        <w:t xml:space="preserve"> finds no evidence that the level of exchange rate volatility or agricultural interests mattered for the timing of adoption.</w:t>
      </w:r>
    </w:p>
    <w:p w:rsidR="00983987" w:rsidRDefault="00983987" w:rsidP="00FE329C">
      <w:pPr>
        <w:spacing w:line="480" w:lineRule="auto"/>
        <w:ind w:right="-180"/>
        <w:rPr>
          <w:rFonts w:asciiTheme="majorBidi" w:eastAsiaTheme="minorHAnsi" w:hAnsiTheme="majorBidi" w:cstheme="majorBidi"/>
        </w:rPr>
      </w:pPr>
    </w:p>
    <w:p w:rsidR="00FE329C" w:rsidRDefault="00FE329C" w:rsidP="00FE329C">
      <w:pPr>
        <w:spacing w:line="480" w:lineRule="auto"/>
        <w:ind w:right="-180"/>
      </w:pPr>
      <w:r>
        <w:t xml:space="preserve"> Rafferty (2006) studied the </w:t>
      </w:r>
      <w:r w:rsidRPr="00FE329C">
        <w:t xml:space="preserve">Growing international payments imbalances (symbolised most notably by a ballooning US current account deficit), and ongoing volatility in exchange rates have become features of the current international monetary system. Not surprisingly, many economists have raised concerns about the sustainability of these </w:t>
      </w:r>
      <w:r w:rsidRPr="00FE329C">
        <w:lastRenderedPageBreak/>
        <w:t>imbalances and their implications for the current international monetary system. Specifically, they have raised concerns about the fragility of the US dollar, both in terms of its current value, and as an anchor for the international monetary system. This paper examines two alternative arguments suggesting that the current international monetary system has in fact quite strong material foundations. These arguments are known as the New Bretton Woods thesis, and the Dark Matter thesis. After examining the two arguments, the paper identifies a shared limitation in their attempts to understand global economic processes through national units of analysis. The paper opens up a third possible explanation for the current monetary system’s stability, namely the anchoring role being played by financial derivatives.</w:t>
      </w:r>
    </w:p>
    <w:p w:rsidR="008F5A62" w:rsidRDefault="008F5A62" w:rsidP="00FE329C">
      <w:pPr>
        <w:spacing w:line="480" w:lineRule="auto"/>
        <w:ind w:right="-180"/>
      </w:pPr>
    </w:p>
    <w:p w:rsidR="00923B09" w:rsidRDefault="008F5A62" w:rsidP="007E2D8A">
      <w:pPr>
        <w:pStyle w:val="Heading5"/>
        <w:spacing w:line="480" w:lineRule="auto"/>
        <w:rPr>
          <w:rFonts w:asciiTheme="majorBidi" w:hAnsiTheme="majorBidi"/>
          <w:color w:val="auto"/>
        </w:rPr>
      </w:pPr>
      <w:r w:rsidRPr="00923B09">
        <w:rPr>
          <w:rFonts w:asciiTheme="majorBidi" w:hAnsiTheme="majorBidi"/>
          <w:color w:val="auto"/>
        </w:rPr>
        <w:lastRenderedPageBreak/>
        <w:t xml:space="preserve"> Flandreau (1998) has studied the high level of trade and financial integration reached by Europe both today and under the late 19th-century </w:t>
      </w:r>
      <w:r w:rsidRPr="00923B09">
        <w:rPr>
          <w:rStyle w:val="searchtermshighlighted"/>
          <w:rFonts w:asciiTheme="majorBidi" w:hAnsiTheme="majorBidi"/>
          <w:color w:val="auto"/>
        </w:rPr>
        <w:t>gold</w:t>
      </w:r>
      <w:r w:rsidRPr="00923B09">
        <w:rPr>
          <w:rFonts w:asciiTheme="majorBidi" w:hAnsiTheme="majorBidi"/>
          <w:color w:val="auto"/>
        </w:rPr>
        <w:t xml:space="preserve"> </w:t>
      </w:r>
      <w:r w:rsidRPr="00923B09">
        <w:rPr>
          <w:rStyle w:val="searchtermshighlighted"/>
          <w:rFonts w:asciiTheme="majorBidi" w:hAnsiTheme="majorBidi"/>
          <w:color w:val="auto"/>
        </w:rPr>
        <w:t>standard</w:t>
      </w:r>
      <w:r w:rsidRPr="00923B09">
        <w:rPr>
          <w:rFonts w:asciiTheme="majorBidi" w:hAnsiTheme="majorBidi"/>
          <w:color w:val="auto"/>
        </w:rPr>
        <w:t xml:space="preserve"> suggests that important lessons can be learned by looking at past record to inform current issues.</w:t>
      </w:r>
      <w:r w:rsidR="00923B09">
        <w:rPr>
          <w:rFonts w:asciiTheme="majorBidi" w:hAnsiTheme="majorBidi"/>
          <w:color w:val="auto"/>
        </w:rPr>
        <w:t xml:space="preserve"> </w:t>
      </w:r>
    </w:p>
    <w:p w:rsidR="00923B09" w:rsidRDefault="008F5A62" w:rsidP="007E2D8A">
      <w:pPr>
        <w:pStyle w:val="Heading5"/>
        <w:spacing w:line="480" w:lineRule="auto"/>
        <w:rPr>
          <w:rFonts w:asciiTheme="majorBidi" w:hAnsiTheme="majorBidi"/>
          <w:color w:val="auto"/>
        </w:rPr>
      </w:pPr>
      <w:r w:rsidRPr="00923B09">
        <w:rPr>
          <w:rFonts w:asciiTheme="majorBidi" w:hAnsiTheme="majorBidi"/>
          <w:color w:val="auto"/>
        </w:rPr>
        <w:t xml:space="preserve"> In this paper , the researcher  draw a fresh picture of the European </w:t>
      </w:r>
      <w:r w:rsidRPr="00923B09">
        <w:rPr>
          <w:rStyle w:val="searchtermshighlighted"/>
          <w:rFonts w:asciiTheme="majorBidi" w:hAnsiTheme="majorBidi"/>
          <w:color w:val="auto"/>
        </w:rPr>
        <w:t>gold</w:t>
      </w:r>
      <w:r w:rsidRPr="00923B09">
        <w:rPr>
          <w:rFonts w:asciiTheme="majorBidi" w:hAnsiTheme="majorBidi"/>
          <w:color w:val="auto"/>
        </w:rPr>
        <w:t xml:space="preserve"> </w:t>
      </w:r>
      <w:r w:rsidRPr="00923B09">
        <w:rPr>
          <w:rStyle w:val="searchtermshighlighted"/>
          <w:rFonts w:asciiTheme="majorBidi" w:hAnsiTheme="majorBidi"/>
          <w:color w:val="auto"/>
        </w:rPr>
        <w:t>standard</w:t>
      </w:r>
      <w:r w:rsidRPr="00923B09">
        <w:rPr>
          <w:rFonts w:asciiTheme="majorBidi" w:hAnsiTheme="majorBidi"/>
          <w:color w:val="auto"/>
        </w:rPr>
        <w:t xml:space="preserve"> and use it to derive a number of useful implications.</w:t>
      </w:r>
    </w:p>
    <w:p w:rsidR="001012C7" w:rsidRDefault="008F5A62" w:rsidP="007E2D8A">
      <w:pPr>
        <w:pStyle w:val="Heading5"/>
        <w:spacing w:line="480" w:lineRule="auto"/>
        <w:rPr>
          <w:rFonts w:asciiTheme="majorBidi" w:hAnsiTheme="majorBidi"/>
          <w:color w:val="auto"/>
        </w:rPr>
      </w:pPr>
      <w:r w:rsidRPr="00923B09">
        <w:rPr>
          <w:rFonts w:asciiTheme="majorBidi" w:hAnsiTheme="majorBidi"/>
          <w:color w:val="auto"/>
        </w:rPr>
        <w:t xml:space="preserve"> The paper's basic finding is that the stability of the European </w:t>
      </w:r>
      <w:r w:rsidRPr="00923B09">
        <w:rPr>
          <w:rStyle w:val="searchtermshighlighted"/>
          <w:rFonts w:asciiTheme="majorBidi" w:hAnsiTheme="majorBidi"/>
          <w:color w:val="auto"/>
        </w:rPr>
        <w:t>gold</w:t>
      </w:r>
      <w:r w:rsidRPr="00923B09">
        <w:rPr>
          <w:rFonts w:asciiTheme="majorBidi" w:hAnsiTheme="majorBidi"/>
          <w:color w:val="auto"/>
        </w:rPr>
        <w:t xml:space="preserve"> </w:t>
      </w:r>
      <w:r w:rsidRPr="00923B09">
        <w:rPr>
          <w:rStyle w:val="searchtermshighlighted"/>
          <w:rFonts w:asciiTheme="majorBidi" w:hAnsiTheme="majorBidi"/>
          <w:color w:val="auto"/>
        </w:rPr>
        <w:t>standard</w:t>
      </w:r>
      <w:r w:rsidRPr="00923B09">
        <w:rPr>
          <w:rFonts w:asciiTheme="majorBidi" w:hAnsiTheme="majorBidi"/>
          <w:color w:val="auto"/>
        </w:rPr>
        <w:t xml:space="preserve"> depended on the stance of the common monetary policy. Under the </w:t>
      </w:r>
      <w:r w:rsidRPr="00923B09">
        <w:rPr>
          <w:rStyle w:val="searchtermshighlighted"/>
          <w:rFonts w:asciiTheme="majorBidi" w:hAnsiTheme="majorBidi"/>
          <w:color w:val="auto"/>
        </w:rPr>
        <w:t>gold</w:t>
      </w:r>
      <w:r w:rsidRPr="00923B09">
        <w:rPr>
          <w:rFonts w:asciiTheme="majorBidi" w:hAnsiTheme="majorBidi"/>
          <w:color w:val="auto"/>
        </w:rPr>
        <w:t xml:space="preserve"> </w:t>
      </w:r>
      <w:r w:rsidRPr="00923B09">
        <w:rPr>
          <w:rStyle w:val="searchtermshighlighted"/>
          <w:rFonts w:asciiTheme="majorBidi" w:hAnsiTheme="majorBidi"/>
          <w:color w:val="auto"/>
        </w:rPr>
        <w:t>standard</w:t>
      </w:r>
      <w:r w:rsidRPr="00923B09">
        <w:rPr>
          <w:rFonts w:asciiTheme="majorBidi" w:hAnsiTheme="majorBidi"/>
          <w:color w:val="auto"/>
        </w:rPr>
        <w:t xml:space="preserve">, this stance was disturbingly deflationary prior to 1895. As a result, debts became exceedingly heavy and monetary standards crumbled under their weight, not so much because fiscal policies became looser, but rather because debt burdens became unsustainable in the wake of continued deflation. Once </w:t>
      </w:r>
      <w:r w:rsidRPr="00923B09">
        <w:rPr>
          <w:rStyle w:val="searchtermshighlighted"/>
          <w:rFonts w:asciiTheme="majorBidi" w:hAnsiTheme="majorBidi"/>
          <w:color w:val="auto"/>
        </w:rPr>
        <w:t>gold</w:t>
      </w:r>
      <w:r w:rsidRPr="00923B09">
        <w:rPr>
          <w:rFonts w:asciiTheme="majorBidi" w:hAnsiTheme="majorBidi"/>
          <w:color w:val="auto"/>
        </w:rPr>
        <w:t xml:space="preserve"> was discovered and deflation gave way to inflation, real interest rates fell and debt grew more slowly. This study's clear implication for the EMU zone is that stability will hinge on the European Central Bank's (ECB) policy not being too restrictive</w:t>
      </w:r>
      <w:r w:rsidR="00923B09">
        <w:rPr>
          <w:rFonts w:asciiTheme="majorBidi" w:hAnsiTheme="majorBidi"/>
          <w:color w:val="auto"/>
        </w:rPr>
        <w:t>.</w:t>
      </w:r>
    </w:p>
    <w:p w:rsidR="005D1042" w:rsidRPr="005D1042" w:rsidRDefault="005D1042" w:rsidP="005D1042"/>
    <w:p w:rsidR="008A453F" w:rsidRDefault="005D1042" w:rsidP="005956DB">
      <w:pPr>
        <w:spacing w:line="480" w:lineRule="auto"/>
        <w:rPr>
          <w:rFonts w:asciiTheme="majorBidi" w:hAnsiTheme="majorBidi" w:cstheme="majorBidi"/>
        </w:rPr>
      </w:pPr>
      <w:r w:rsidRPr="005D1042">
        <w:rPr>
          <w:rStyle w:val="apple-style-span"/>
          <w:rFonts w:asciiTheme="majorBidi" w:hAnsiTheme="majorBidi" w:cstheme="majorBidi"/>
        </w:rPr>
        <w:t>Cat</w:t>
      </w:r>
      <w:r>
        <w:rPr>
          <w:rStyle w:val="apple-style-span"/>
          <w:rFonts w:asciiTheme="majorBidi" w:hAnsiTheme="majorBidi" w:cstheme="majorBidi"/>
        </w:rPr>
        <w:t>a</w:t>
      </w:r>
      <w:r w:rsidR="002D5F9F">
        <w:rPr>
          <w:rStyle w:val="apple-style-span"/>
          <w:rFonts w:asciiTheme="majorBidi" w:hAnsiTheme="majorBidi" w:cstheme="majorBidi"/>
        </w:rPr>
        <w:t>o, Luis and Solomos (</w:t>
      </w:r>
      <w:r w:rsidR="007058C9">
        <w:rPr>
          <w:rStyle w:val="apple-style-span"/>
          <w:rFonts w:asciiTheme="majorBidi" w:hAnsiTheme="majorBidi" w:cstheme="majorBidi"/>
        </w:rPr>
        <w:t>2003)</w:t>
      </w:r>
      <w:r w:rsidRPr="005D1042">
        <w:rPr>
          <w:rStyle w:val="apple-style-span"/>
          <w:rFonts w:asciiTheme="majorBidi" w:hAnsiTheme="majorBidi" w:cstheme="majorBidi"/>
        </w:rPr>
        <w:t xml:space="preserve"> have investigated the role of exchange rate flexibility in the periphery of the</w:t>
      </w:r>
      <w:r w:rsidRPr="005D1042">
        <w:rPr>
          <w:rStyle w:val="apple-converted-space"/>
          <w:rFonts w:asciiTheme="majorBidi" w:hAnsiTheme="majorBidi" w:cstheme="majorBidi"/>
        </w:rPr>
        <w:t> </w:t>
      </w:r>
      <w:r w:rsidRPr="005D1042">
        <w:rPr>
          <w:rStyle w:val="searchtermshighlighted"/>
          <w:rFonts w:asciiTheme="majorBidi" w:hAnsiTheme="majorBidi" w:cstheme="majorBidi"/>
        </w:rPr>
        <w:t>gold</w:t>
      </w:r>
      <w:r w:rsidRPr="005D1042">
        <w:rPr>
          <w:rStyle w:val="apple-converted-space"/>
          <w:rFonts w:asciiTheme="majorBidi" w:hAnsiTheme="majorBidi" w:cstheme="majorBidi"/>
        </w:rPr>
        <w:t> </w:t>
      </w:r>
      <w:r w:rsidRPr="005D1042">
        <w:rPr>
          <w:rStyle w:val="searchtermshighlighted"/>
          <w:rFonts w:asciiTheme="majorBidi" w:hAnsiTheme="majorBidi" w:cstheme="majorBidi"/>
        </w:rPr>
        <w:t>standard</w:t>
      </w:r>
      <w:r w:rsidRPr="005D1042">
        <w:rPr>
          <w:rStyle w:val="apple-style-span"/>
          <w:rFonts w:asciiTheme="majorBidi" w:hAnsiTheme="majorBidi" w:cstheme="majorBidi"/>
        </w:rPr>
        <w:t>. This paper builds a new dataset on trade-weighed exchange rates for the period 1870-1913 and finds that large currency movements in periphery countries operating inconvertible paper-money and silver-</w:t>
      </w:r>
      <w:r w:rsidRPr="005D1042">
        <w:rPr>
          <w:rStyle w:val="searchtermshighlighted"/>
          <w:rFonts w:asciiTheme="majorBidi" w:hAnsiTheme="majorBidi" w:cstheme="majorBidi"/>
        </w:rPr>
        <w:t>standard</w:t>
      </w:r>
      <w:r w:rsidRPr="005D1042">
        <w:rPr>
          <w:rStyle w:val="apple-converted-space"/>
          <w:rFonts w:asciiTheme="majorBidi" w:hAnsiTheme="majorBidi" w:cstheme="majorBidi"/>
        </w:rPr>
        <w:t> </w:t>
      </w:r>
      <w:r w:rsidRPr="005D1042">
        <w:rPr>
          <w:rStyle w:val="apple-style-span"/>
          <w:rFonts w:asciiTheme="majorBidi" w:hAnsiTheme="majorBidi" w:cstheme="majorBidi"/>
        </w:rPr>
        <w:t>regimes induced major fluctuations in effective exchange rates worldwide. The research relates the phenomenon to the international trade structure at the time and show that such currency fluctuations had powerful effects on trade flows. The research concludes that nominal exchange rate flexibility in the periphery was an important ingredient of international payments adjustment under the</w:t>
      </w:r>
      <w:r w:rsidRPr="005D1042">
        <w:rPr>
          <w:rStyle w:val="apple-converted-space"/>
          <w:rFonts w:asciiTheme="majorBidi" w:hAnsiTheme="majorBidi" w:cstheme="majorBidi"/>
        </w:rPr>
        <w:t> </w:t>
      </w:r>
      <w:r w:rsidRPr="005D1042">
        <w:rPr>
          <w:rStyle w:val="searchtermshighlighted"/>
          <w:rFonts w:asciiTheme="majorBidi" w:hAnsiTheme="majorBidi" w:cstheme="majorBidi"/>
        </w:rPr>
        <w:t>gold</w:t>
      </w:r>
      <w:r w:rsidRPr="005D1042">
        <w:rPr>
          <w:rStyle w:val="apple-converted-space"/>
          <w:rFonts w:asciiTheme="majorBidi" w:hAnsiTheme="majorBidi" w:cstheme="majorBidi"/>
        </w:rPr>
        <w:t> </w:t>
      </w:r>
      <w:r w:rsidRPr="005D1042">
        <w:rPr>
          <w:rStyle w:val="searchtermshighlighted"/>
          <w:rFonts w:asciiTheme="majorBidi" w:hAnsiTheme="majorBidi" w:cstheme="majorBidi"/>
        </w:rPr>
        <w:t>standard</w:t>
      </w:r>
      <w:r w:rsidRPr="005D1042">
        <w:rPr>
          <w:rStyle w:val="apple-style-span"/>
          <w:rFonts w:asciiTheme="majorBidi" w:hAnsiTheme="majorBidi" w:cstheme="majorBidi"/>
        </w:rPr>
        <w:t>.</w:t>
      </w:r>
    </w:p>
    <w:p w:rsidR="008A453F" w:rsidRDefault="007058C9" w:rsidP="008A453F">
      <w:pPr>
        <w:spacing w:line="480" w:lineRule="auto"/>
        <w:rPr>
          <w:rFonts w:asciiTheme="majorBidi" w:hAnsiTheme="majorBidi" w:cstheme="majorBidi"/>
        </w:rPr>
      </w:pPr>
      <w:r>
        <w:rPr>
          <w:rStyle w:val="apple-style-span"/>
          <w:rFonts w:asciiTheme="majorBidi" w:hAnsiTheme="majorBidi" w:cstheme="majorBidi"/>
        </w:rPr>
        <w:lastRenderedPageBreak/>
        <w:t>Young, Andrew and</w:t>
      </w:r>
      <w:r w:rsidR="008A453F" w:rsidRPr="008A453F">
        <w:rPr>
          <w:rStyle w:val="apple-style-span"/>
          <w:rFonts w:asciiTheme="majorBidi" w:hAnsiTheme="majorBidi" w:cstheme="majorBidi"/>
        </w:rPr>
        <w:t xml:space="preserve"> Shaoyin</w:t>
      </w:r>
      <w:r w:rsidR="002D5F9F">
        <w:rPr>
          <w:rStyle w:val="apple-style-span"/>
          <w:rFonts w:asciiTheme="majorBidi" w:hAnsiTheme="majorBidi" w:cstheme="majorBidi"/>
        </w:rPr>
        <w:t xml:space="preserve"> (2007) </w:t>
      </w:r>
      <w:r w:rsidR="008A453F" w:rsidRPr="008A453F">
        <w:rPr>
          <w:rStyle w:val="apple-style-span"/>
          <w:rFonts w:asciiTheme="majorBidi" w:hAnsiTheme="majorBidi" w:cstheme="majorBidi"/>
        </w:rPr>
        <w:t>have found using monthly NBER reference dates, that, the March 1933 departure from the</w:t>
      </w:r>
      <w:r w:rsidR="008A453F" w:rsidRPr="008A453F">
        <w:rPr>
          <w:rStyle w:val="apple-converted-space"/>
          <w:rFonts w:asciiTheme="majorBidi" w:hAnsiTheme="majorBidi" w:cstheme="majorBidi"/>
        </w:rPr>
        <w:t> </w:t>
      </w:r>
      <w:r w:rsidR="008A453F" w:rsidRPr="008A453F">
        <w:rPr>
          <w:rStyle w:val="searchtermshighlighted"/>
          <w:rFonts w:asciiTheme="majorBidi" w:hAnsiTheme="majorBidi" w:cstheme="majorBidi"/>
        </w:rPr>
        <w:t>goldstandard</w:t>
      </w:r>
      <w:r w:rsidR="008A453F" w:rsidRPr="008A453F">
        <w:rPr>
          <w:rStyle w:val="apple-converted-space"/>
          <w:rFonts w:asciiTheme="majorBidi" w:hAnsiTheme="majorBidi" w:cstheme="majorBidi"/>
        </w:rPr>
        <w:t> </w:t>
      </w:r>
      <w:r w:rsidR="008A453F" w:rsidRPr="008A453F">
        <w:rPr>
          <w:rStyle w:val="apple-style-span"/>
          <w:rFonts w:asciiTheme="majorBidi" w:hAnsiTheme="majorBidi" w:cstheme="majorBidi"/>
        </w:rPr>
        <w:t>is the most probable breakpoint ushering in an era of longer expansions, both absolutely and relative to recessions that follow. Cover and Pecorino view this finding as a challenge to real business cycle theory (RBCT). However, RBCT, along with most of recent macroeconomic research, has focused on the alternative concept of growth cycles - periods when the economy's production is above or below trend - rather than absolute increases or decreases in economic activity. Furthermore, empirical evaluation of RBCT has focused on the statistical properties of aggregate time series, rather than focusing exclusively on business cycle durations. Using HP-filtered quarterly real GNP, the research demonstrate that tests of growth cycle durations still imply a most probable breakpoint close to 1933. However, research also test for structural breaks in the volatility of real GNP growth rates and deviations from HP-filter trends. These tests suggest that the most probable structural break is considerably later than 1933; perhaps as late as the 1950s. This conclusion is robust to the consideration of the alternative pre-1929 real GNP series constructed by Romer (1989) and Balke and Gordon (1989).</w:t>
      </w:r>
    </w:p>
    <w:p w:rsidR="008A453F" w:rsidRDefault="008A453F" w:rsidP="008A453F">
      <w:pPr>
        <w:spacing w:line="480" w:lineRule="auto"/>
        <w:rPr>
          <w:rFonts w:asciiTheme="majorBidi" w:hAnsiTheme="majorBidi" w:cstheme="majorBidi"/>
        </w:rPr>
      </w:pPr>
    </w:p>
    <w:p w:rsidR="008A453F" w:rsidRDefault="007058C9" w:rsidP="008A453F">
      <w:pPr>
        <w:spacing w:line="480" w:lineRule="auto"/>
        <w:rPr>
          <w:rFonts w:asciiTheme="majorBidi" w:hAnsiTheme="majorBidi" w:cstheme="majorBidi"/>
        </w:rPr>
      </w:pPr>
      <w:r>
        <w:rPr>
          <w:rStyle w:val="apple-style-span"/>
          <w:rFonts w:asciiTheme="majorBidi" w:hAnsiTheme="majorBidi" w:cstheme="majorBidi"/>
        </w:rPr>
        <w:t>Coleman and</w:t>
      </w:r>
      <w:r w:rsidR="002D5F9F">
        <w:rPr>
          <w:rStyle w:val="apple-style-span"/>
          <w:rFonts w:asciiTheme="majorBidi" w:hAnsiTheme="majorBidi" w:cstheme="majorBidi"/>
        </w:rPr>
        <w:t xml:space="preserve"> Andrew (2010) t</w:t>
      </w:r>
      <w:r w:rsidR="00560F52" w:rsidRPr="00560F52">
        <w:rPr>
          <w:rStyle w:val="apple-style-span"/>
          <w:rFonts w:asciiTheme="majorBidi" w:hAnsiTheme="majorBidi" w:cstheme="majorBidi"/>
        </w:rPr>
        <w:t xml:space="preserve">his paper </w:t>
      </w:r>
      <w:r w:rsidR="002D5F9F" w:rsidRPr="00560F52">
        <w:rPr>
          <w:rStyle w:val="apple-style-span"/>
          <w:rFonts w:asciiTheme="majorBidi" w:hAnsiTheme="majorBidi" w:cstheme="majorBidi"/>
        </w:rPr>
        <w:t>examine</w:t>
      </w:r>
      <w:r w:rsidR="00560F52" w:rsidRPr="00560F52">
        <w:rPr>
          <w:rStyle w:val="apple-style-span"/>
          <w:rFonts w:asciiTheme="majorBidi" w:hAnsiTheme="majorBidi" w:cstheme="majorBidi"/>
        </w:rPr>
        <w:t xml:space="preserve"> the uncovered interest parity hypothesis using the dollar-sterling exchange rate during the</w:t>
      </w:r>
      <w:r w:rsidR="00560F52" w:rsidRPr="00560F52">
        <w:rPr>
          <w:rStyle w:val="apple-converted-space"/>
          <w:rFonts w:asciiTheme="majorBidi" w:hAnsiTheme="majorBidi" w:cstheme="majorBidi"/>
        </w:rPr>
        <w:t> </w:t>
      </w:r>
      <w:r w:rsidR="00560F52" w:rsidRPr="00560F52">
        <w:rPr>
          <w:rStyle w:val="searchtermshighlighted"/>
          <w:rFonts w:asciiTheme="majorBidi" w:hAnsiTheme="majorBidi" w:cstheme="majorBidi"/>
        </w:rPr>
        <w:t>gold standard</w:t>
      </w:r>
      <w:r w:rsidR="00560F52" w:rsidRPr="00560F52">
        <w:rPr>
          <w:rStyle w:val="apple-converted-space"/>
          <w:rFonts w:asciiTheme="majorBidi" w:hAnsiTheme="majorBidi" w:cstheme="majorBidi"/>
        </w:rPr>
        <w:t> </w:t>
      </w:r>
      <w:r w:rsidR="00560F52" w:rsidRPr="00560F52">
        <w:rPr>
          <w:rStyle w:val="apple-style-span"/>
          <w:rFonts w:asciiTheme="majorBidi" w:hAnsiTheme="majorBidi" w:cstheme="majorBidi"/>
        </w:rPr>
        <w:t xml:space="preserve">era. This period is interesting because the exchange rate was seasonal, because transactions costs were high, and because occasions when uncovered interest rate speculation did not occur can be identified. The paper shows UIP speculation frequently did not occur, that speculation occurred more in response to expected exchange rate changes than interest rate differentials, and that profitability varied systematically with interest </w:t>
      </w:r>
      <w:r w:rsidR="00560F52" w:rsidRPr="00560F52">
        <w:rPr>
          <w:rStyle w:val="apple-style-span"/>
          <w:rFonts w:asciiTheme="majorBidi" w:hAnsiTheme="majorBidi" w:cstheme="majorBidi"/>
        </w:rPr>
        <w:lastRenderedPageBreak/>
        <w:t>rate differentials. The estimated UIP equations are substantially improved by distinguishing occasions when sterling was borrowed not lent</w:t>
      </w:r>
      <w:r w:rsidR="00560F52" w:rsidRPr="00560F52">
        <w:rPr>
          <w:rFonts w:asciiTheme="majorBidi" w:hAnsiTheme="majorBidi" w:cstheme="majorBidi"/>
        </w:rPr>
        <w:t>.</w:t>
      </w:r>
    </w:p>
    <w:p w:rsidR="00560F52" w:rsidRDefault="00560F52" w:rsidP="008A453F">
      <w:pPr>
        <w:spacing w:line="480" w:lineRule="auto"/>
        <w:rPr>
          <w:rFonts w:asciiTheme="majorBidi" w:hAnsiTheme="majorBidi" w:cstheme="majorBidi"/>
        </w:rPr>
      </w:pPr>
    </w:p>
    <w:p w:rsidR="00560F52" w:rsidRPr="00560F52" w:rsidRDefault="007058C9" w:rsidP="008A453F">
      <w:pPr>
        <w:spacing w:line="480" w:lineRule="auto"/>
        <w:rPr>
          <w:rFonts w:asciiTheme="majorBidi" w:hAnsiTheme="majorBidi" w:cstheme="majorBidi"/>
        </w:rPr>
      </w:pPr>
      <w:r>
        <w:rPr>
          <w:rStyle w:val="apple-style-span"/>
          <w:rFonts w:asciiTheme="majorBidi" w:hAnsiTheme="majorBidi" w:cstheme="majorBidi"/>
        </w:rPr>
        <w:t>Martins and</w:t>
      </w:r>
      <w:r w:rsidR="005956DB">
        <w:rPr>
          <w:rStyle w:val="apple-style-span"/>
          <w:rFonts w:asciiTheme="majorBidi" w:hAnsiTheme="majorBidi" w:cstheme="majorBidi"/>
        </w:rPr>
        <w:t xml:space="preserve"> Campos(</w:t>
      </w:r>
      <w:r w:rsidR="002D5F9F">
        <w:rPr>
          <w:rStyle w:val="apple-style-span"/>
          <w:rFonts w:asciiTheme="majorBidi" w:hAnsiTheme="majorBidi" w:cstheme="majorBidi"/>
        </w:rPr>
        <w:t>1994) t</w:t>
      </w:r>
      <w:r w:rsidR="00560F52" w:rsidRPr="00560F52">
        <w:rPr>
          <w:rStyle w:val="apple-style-span"/>
          <w:rFonts w:asciiTheme="majorBidi" w:hAnsiTheme="majorBidi" w:cstheme="majorBidi"/>
        </w:rPr>
        <w:t>his paper presents a structural monetary framework featuring a demand function for non-monetary uses of</w:t>
      </w:r>
      <w:r w:rsidR="00560F52" w:rsidRPr="00560F52">
        <w:rPr>
          <w:rStyle w:val="apple-converted-space"/>
          <w:rFonts w:asciiTheme="majorBidi" w:hAnsiTheme="majorBidi" w:cstheme="majorBidi"/>
        </w:rPr>
        <w:t> </w:t>
      </w:r>
      <w:r w:rsidR="00560F52" w:rsidRPr="00560F52">
        <w:rPr>
          <w:rStyle w:val="searchtermshighlighted"/>
          <w:rFonts w:asciiTheme="majorBidi" w:hAnsiTheme="majorBidi" w:cstheme="majorBidi"/>
        </w:rPr>
        <w:t>gold</w:t>
      </w:r>
      <w:r w:rsidR="00560F52" w:rsidRPr="00560F52">
        <w:rPr>
          <w:rStyle w:val="apple-style-span"/>
          <w:rFonts w:asciiTheme="majorBidi" w:hAnsiTheme="majorBidi" w:cstheme="majorBidi"/>
        </w:rPr>
        <w:t>, such as the one drawn by Barsky and Summers in their 1988 analysis of the Gibson paradox as a natural concomitant of the</w:t>
      </w:r>
      <w:r w:rsidR="00560F52" w:rsidRPr="00560F52">
        <w:rPr>
          <w:rStyle w:val="apple-converted-space"/>
          <w:rFonts w:asciiTheme="majorBidi" w:hAnsiTheme="majorBidi" w:cstheme="majorBidi"/>
        </w:rPr>
        <w:t> </w:t>
      </w:r>
      <w:r w:rsidR="00560F52" w:rsidRPr="00560F52">
        <w:rPr>
          <w:rStyle w:val="searchtermshighlighted"/>
          <w:rFonts w:asciiTheme="majorBidi" w:hAnsiTheme="majorBidi" w:cstheme="majorBidi"/>
        </w:rPr>
        <w:t>gold</w:t>
      </w:r>
      <w:r w:rsidR="00C12325">
        <w:rPr>
          <w:rStyle w:val="searchtermshighlighted"/>
          <w:rFonts w:asciiTheme="majorBidi" w:hAnsiTheme="majorBidi" w:cstheme="majorBidi"/>
        </w:rPr>
        <w:t xml:space="preserve"> </w:t>
      </w:r>
      <w:r w:rsidR="00560F52" w:rsidRPr="00560F52">
        <w:rPr>
          <w:rStyle w:val="searchtermshighlighted"/>
          <w:rFonts w:asciiTheme="majorBidi" w:hAnsiTheme="majorBidi" w:cstheme="majorBidi"/>
        </w:rPr>
        <w:t>standard</w:t>
      </w:r>
      <w:r w:rsidR="00560F52" w:rsidRPr="00560F52">
        <w:rPr>
          <w:rStyle w:val="apple-converted-space"/>
          <w:rFonts w:asciiTheme="majorBidi" w:hAnsiTheme="majorBidi" w:cstheme="majorBidi"/>
        </w:rPr>
        <w:t> </w:t>
      </w:r>
      <w:r w:rsidR="00560F52" w:rsidRPr="00560F52">
        <w:rPr>
          <w:rStyle w:val="apple-style-span"/>
          <w:rFonts w:asciiTheme="majorBidi" w:hAnsiTheme="majorBidi" w:cstheme="majorBidi"/>
        </w:rPr>
        <w:t>period. That structural model is subject to government rules to command the money supply. Its fiduciary version obtains Fisherian relationships as particular cases. Its</w:t>
      </w:r>
      <w:r w:rsidR="00560F52" w:rsidRPr="00560F52">
        <w:rPr>
          <w:rStyle w:val="apple-converted-space"/>
          <w:rFonts w:asciiTheme="majorBidi" w:hAnsiTheme="majorBidi" w:cstheme="majorBidi"/>
        </w:rPr>
        <w:t> </w:t>
      </w:r>
      <w:r w:rsidR="00560F52" w:rsidRPr="00560F52">
        <w:rPr>
          <w:rStyle w:val="searchtermshighlighted"/>
          <w:rFonts w:asciiTheme="majorBidi" w:hAnsiTheme="majorBidi" w:cstheme="majorBidi"/>
        </w:rPr>
        <w:t>gold</w:t>
      </w:r>
      <w:r w:rsidR="00560F52" w:rsidRPr="00560F52">
        <w:rPr>
          <w:rStyle w:val="apple-converted-space"/>
          <w:rFonts w:asciiTheme="majorBidi" w:hAnsiTheme="majorBidi" w:cstheme="majorBidi"/>
        </w:rPr>
        <w:t> </w:t>
      </w:r>
      <w:r w:rsidR="00560F52" w:rsidRPr="00560F52">
        <w:rPr>
          <w:rStyle w:val="searchtermshighlighted"/>
          <w:rFonts w:asciiTheme="majorBidi" w:hAnsiTheme="majorBidi" w:cstheme="majorBidi"/>
        </w:rPr>
        <w:t>standard</w:t>
      </w:r>
      <w:r w:rsidR="00560F52" w:rsidRPr="00560F52">
        <w:rPr>
          <w:rStyle w:val="apple-converted-space"/>
          <w:rFonts w:asciiTheme="majorBidi" w:hAnsiTheme="majorBidi" w:cstheme="majorBidi"/>
        </w:rPr>
        <w:t> </w:t>
      </w:r>
      <w:r w:rsidR="00560F52" w:rsidRPr="00560F52">
        <w:rPr>
          <w:rStyle w:val="apple-style-span"/>
          <w:rFonts w:asciiTheme="majorBidi" w:hAnsiTheme="majorBidi" w:cstheme="majorBidi"/>
        </w:rPr>
        <w:t>solution yields a model similar to the Barsky and Summers model, in which interest rates are exogenous and subject to productivity or thrift external shocks. This paper integrates government bonds in the analysis, treats interest rates endogenously, and shifts the responsibility for the shocks to the government budgetary financing policies. The Gibson paradox appears as practically the only class of behavioral pattern open for interest rate and price movements under a pure</w:t>
      </w:r>
      <w:r w:rsidR="00560F52" w:rsidRPr="00560F52">
        <w:rPr>
          <w:rStyle w:val="apple-converted-space"/>
          <w:rFonts w:asciiTheme="majorBidi" w:hAnsiTheme="majorBidi" w:cstheme="majorBidi"/>
        </w:rPr>
        <w:t> </w:t>
      </w:r>
      <w:r w:rsidR="00560F52" w:rsidRPr="00560F52">
        <w:rPr>
          <w:rStyle w:val="searchtermshighlighted"/>
          <w:rFonts w:asciiTheme="majorBidi" w:hAnsiTheme="majorBidi" w:cstheme="majorBidi"/>
        </w:rPr>
        <w:t>gold</w:t>
      </w:r>
      <w:r w:rsidR="00560F52" w:rsidRPr="00560F52">
        <w:rPr>
          <w:rStyle w:val="apple-converted-space"/>
          <w:rFonts w:asciiTheme="majorBidi" w:hAnsiTheme="majorBidi" w:cstheme="majorBidi"/>
        </w:rPr>
        <w:t> </w:t>
      </w:r>
      <w:r w:rsidR="00560F52" w:rsidRPr="00560F52">
        <w:rPr>
          <w:rStyle w:val="searchtermshighlighted"/>
          <w:rFonts w:asciiTheme="majorBidi" w:hAnsiTheme="majorBidi" w:cstheme="majorBidi"/>
        </w:rPr>
        <w:t>standard</w:t>
      </w:r>
      <w:r w:rsidR="00560F52" w:rsidRPr="00560F52">
        <w:rPr>
          <w:rStyle w:val="apple-converted-space"/>
          <w:rFonts w:asciiTheme="majorBidi" w:hAnsiTheme="majorBidi" w:cstheme="majorBidi"/>
        </w:rPr>
        <w:t> </w:t>
      </w:r>
      <w:r w:rsidR="00560F52" w:rsidRPr="00560F52">
        <w:rPr>
          <w:rStyle w:val="apple-style-span"/>
          <w:rFonts w:asciiTheme="majorBidi" w:hAnsiTheme="majorBidi" w:cstheme="majorBidi"/>
        </w:rPr>
        <w:t>economy. Fisherian-like relationships are utterly ruled out</w:t>
      </w:r>
      <w:r w:rsidR="00560F52" w:rsidRPr="00560F52">
        <w:rPr>
          <w:rFonts w:asciiTheme="majorBidi" w:hAnsiTheme="majorBidi" w:cstheme="majorBidi"/>
        </w:rPr>
        <w:t>.</w:t>
      </w:r>
    </w:p>
    <w:p w:rsidR="00DD2E32" w:rsidRDefault="00391D12" w:rsidP="002B72BB">
      <w:pPr>
        <w:spacing w:line="480" w:lineRule="auto"/>
        <w:ind w:left="360" w:right="-180"/>
      </w:pPr>
      <w:r>
        <w:t xml:space="preserve"> </w:t>
      </w:r>
      <w:r w:rsidR="00DD2E32">
        <w:t xml:space="preserve"> </w:t>
      </w:r>
    </w:p>
    <w:p w:rsidR="006F2755" w:rsidRDefault="005956DB" w:rsidP="005A3607">
      <w:pPr>
        <w:spacing w:line="480" w:lineRule="auto"/>
        <w:rPr>
          <w:rStyle w:val="apple-style-span"/>
          <w:rFonts w:asciiTheme="majorBidi" w:hAnsiTheme="majorBidi" w:cstheme="majorBidi"/>
        </w:rPr>
      </w:pPr>
      <w:r>
        <w:rPr>
          <w:rStyle w:val="apple-style-span"/>
          <w:rFonts w:asciiTheme="majorBidi" w:hAnsiTheme="majorBidi" w:cstheme="majorBidi"/>
        </w:rPr>
        <w:t>Salvary and Stanley (</w:t>
      </w:r>
      <w:r w:rsidR="007058C9">
        <w:rPr>
          <w:rStyle w:val="apple-style-span"/>
          <w:rFonts w:asciiTheme="majorBidi" w:hAnsiTheme="majorBidi" w:cstheme="majorBidi"/>
        </w:rPr>
        <w:t>2008)</w:t>
      </w:r>
      <w:r w:rsidR="007E3DB9" w:rsidRPr="005A3607">
        <w:rPr>
          <w:rStyle w:val="apple-style-span"/>
          <w:rFonts w:asciiTheme="majorBidi" w:hAnsiTheme="majorBidi" w:cstheme="majorBidi"/>
        </w:rPr>
        <w:t xml:space="preserve"> </w:t>
      </w:r>
      <w:r w:rsidR="007E3DB9" w:rsidRPr="005A3607">
        <w:rPr>
          <w:rFonts w:asciiTheme="majorBidi" w:hAnsiTheme="majorBidi" w:cstheme="majorBidi"/>
        </w:rPr>
        <w:t>has</w:t>
      </w:r>
      <w:r w:rsidR="005A3607" w:rsidRPr="005A3607">
        <w:rPr>
          <w:rStyle w:val="apple-style-span"/>
          <w:rFonts w:asciiTheme="majorBidi" w:hAnsiTheme="majorBidi" w:cstheme="majorBidi"/>
        </w:rPr>
        <w:t xml:space="preserve"> examined the issue of</w:t>
      </w:r>
      <w:r w:rsidR="005A3607" w:rsidRPr="005A3607">
        <w:rPr>
          <w:rStyle w:val="apple-converted-space"/>
          <w:rFonts w:asciiTheme="majorBidi" w:hAnsiTheme="majorBidi" w:cstheme="majorBidi"/>
        </w:rPr>
        <w:t> </w:t>
      </w:r>
      <w:r w:rsidR="005A3607" w:rsidRPr="005A3607">
        <w:rPr>
          <w:rStyle w:val="searchtermshighlighted"/>
          <w:rFonts w:asciiTheme="majorBidi" w:hAnsiTheme="majorBidi" w:cstheme="majorBidi"/>
        </w:rPr>
        <w:t>price</w:t>
      </w:r>
      <w:r w:rsidR="005A3607" w:rsidRPr="005A3607">
        <w:rPr>
          <w:rStyle w:val="apple-converted-space"/>
          <w:rFonts w:asciiTheme="majorBidi" w:hAnsiTheme="majorBidi" w:cstheme="majorBidi"/>
        </w:rPr>
        <w:t> </w:t>
      </w:r>
      <w:r w:rsidR="005A3607" w:rsidRPr="005A3607">
        <w:rPr>
          <w:rStyle w:val="apple-style-span"/>
          <w:rFonts w:asciiTheme="majorBidi" w:hAnsiTheme="majorBidi" w:cstheme="majorBidi"/>
        </w:rPr>
        <w:t>level changes within the context of</w:t>
      </w:r>
      <w:r w:rsidR="005A3607" w:rsidRPr="005A3607">
        <w:rPr>
          <w:rStyle w:val="apple-converted-space"/>
          <w:rFonts w:asciiTheme="majorBidi" w:hAnsiTheme="majorBidi" w:cstheme="majorBidi"/>
        </w:rPr>
        <w:t> </w:t>
      </w:r>
      <w:r w:rsidR="005A3607" w:rsidRPr="005A3607">
        <w:rPr>
          <w:rStyle w:val="searchtermshighlighted"/>
          <w:rFonts w:asciiTheme="majorBidi" w:hAnsiTheme="majorBidi" w:cstheme="majorBidi"/>
        </w:rPr>
        <w:t>money</w:t>
      </w:r>
      <w:r w:rsidR="005A3607" w:rsidRPr="005A3607">
        <w:rPr>
          <w:rStyle w:val="apple-converted-space"/>
          <w:rFonts w:asciiTheme="majorBidi" w:hAnsiTheme="majorBidi" w:cstheme="majorBidi"/>
        </w:rPr>
        <w:t> </w:t>
      </w:r>
      <w:r w:rsidR="005A3607" w:rsidRPr="005A3607">
        <w:rPr>
          <w:rStyle w:val="apple-style-span"/>
          <w:rFonts w:asciiTheme="majorBidi" w:hAnsiTheme="majorBidi" w:cstheme="majorBidi"/>
        </w:rPr>
        <w:t>(types and functions), economic systems (barter, monetary, and credit), aggressive business practices, unrestrained consumer credit, and credit cycles</w:t>
      </w:r>
      <w:r w:rsidR="007E3DB9" w:rsidRPr="005A3607">
        <w:rPr>
          <w:rStyle w:val="apple-style-span"/>
          <w:rFonts w:asciiTheme="majorBidi" w:hAnsiTheme="majorBidi" w:cstheme="majorBidi"/>
        </w:rPr>
        <w:t xml:space="preserve"> Monetarists maintain that changes in the</w:t>
      </w:r>
      <w:r w:rsidR="007E3DB9" w:rsidRPr="005A3607">
        <w:rPr>
          <w:rStyle w:val="apple-converted-space"/>
          <w:rFonts w:asciiTheme="majorBidi" w:hAnsiTheme="majorBidi" w:cstheme="majorBidi"/>
        </w:rPr>
        <w:t> </w:t>
      </w:r>
      <w:r w:rsidR="007E3DB9" w:rsidRPr="005A3607">
        <w:rPr>
          <w:rStyle w:val="searchtermshighlighted"/>
          <w:rFonts w:asciiTheme="majorBidi" w:hAnsiTheme="majorBidi" w:cstheme="majorBidi"/>
        </w:rPr>
        <w:t>price</w:t>
      </w:r>
      <w:r w:rsidR="007E3DB9" w:rsidRPr="005A3607">
        <w:rPr>
          <w:rStyle w:val="apple-converted-space"/>
          <w:rFonts w:asciiTheme="majorBidi" w:hAnsiTheme="majorBidi" w:cstheme="majorBidi"/>
        </w:rPr>
        <w:t> </w:t>
      </w:r>
      <w:r w:rsidR="007E3DB9" w:rsidRPr="005A3607">
        <w:rPr>
          <w:rStyle w:val="apple-style-span"/>
          <w:rFonts w:asciiTheme="majorBidi" w:hAnsiTheme="majorBidi" w:cstheme="majorBidi"/>
        </w:rPr>
        <w:t>level are attributable to the level of the</w:t>
      </w:r>
      <w:r w:rsidR="007E3DB9" w:rsidRPr="005A3607">
        <w:rPr>
          <w:rStyle w:val="apple-converted-space"/>
          <w:rFonts w:asciiTheme="majorBidi" w:hAnsiTheme="majorBidi" w:cstheme="majorBidi"/>
        </w:rPr>
        <w:t> </w:t>
      </w:r>
      <w:r w:rsidR="007E3DB9" w:rsidRPr="005A3607">
        <w:rPr>
          <w:rStyle w:val="searchtermshighlighted"/>
          <w:rFonts w:asciiTheme="majorBidi" w:hAnsiTheme="majorBidi" w:cstheme="majorBidi"/>
        </w:rPr>
        <w:t>money</w:t>
      </w:r>
      <w:r w:rsidR="007E3DB9" w:rsidRPr="005A3607">
        <w:rPr>
          <w:rStyle w:val="apple-converted-space"/>
          <w:rFonts w:asciiTheme="majorBidi" w:hAnsiTheme="majorBidi" w:cstheme="majorBidi"/>
        </w:rPr>
        <w:t> </w:t>
      </w:r>
      <w:r w:rsidR="007E3DB9" w:rsidRPr="005A3607">
        <w:rPr>
          <w:rStyle w:val="apple-style-span"/>
          <w:rFonts w:asciiTheme="majorBidi" w:hAnsiTheme="majorBidi" w:cstheme="majorBidi"/>
        </w:rPr>
        <w:t>supply. Hence,</w:t>
      </w:r>
      <w:r w:rsidR="007E3DB9" w:rsidRPr="005A3607">
        <w:rPr>
          <w:rStyle w:val="apple-converted-space"/>
          <w:rFonts w:asciiTheme="majorBidi" w:hAnsiTheme="majorBidi" w:cstheme="majorBidi"/>
        </w:rPr>
        <w:t> </w:t>
      </w:r>
      <w:r w:rsidR="007E3DB9" w:rsidRPr="005A3607">
        <w:rPr>
          <w:rStyle w:val="searchtermshighlighted"/>
          <w:rFonts w:asciiTheme="majorBidi" w:hAnsiTheme="majorBidi" w:cstheme="majorBidi"/>
        </w:rPr>
        <w:t>price</w:t>
      </w:r>
      <w:r w:rsidR="007E3DB9" w:rsidRPr="005A3607">
        <w:rPr>
          <w:rStyle w:val="apple-converted-space"/>
          <w:rFonts w:asciiTheme="majorBidi" w:hAnsiTheme="majorBidi" w:cstheme="majorBidi"/>
        </w:rPr>
        <w:t> </w:t>
      </w:r>
      <w:r w:rsidR="007E3DB9" w:rsidRPr="005A3607">
        <w:rPr>
          <w:rStyle w:val="searchtermshighlighted"/>
          <w:rFonts w:asciiTheme="majorBidi" w:hAnsiTheme="majorBidi" w:cstheme="majorBidi"/>
        </w:rPr>
        <w:t>stability</w:t>
      </w:r>
      <w:r w:rsidR="007E3DB9" w:rsidRPr="005A3607">
        <w:rPr>
          <w:rStyle w:val="apple-style-span"/>
          <w:rFonts w:asciiTheme="majorBidi" w:hAnsiTheme="majorBidi" w:cstheme="majorBidi"/>
        </w:rPr>
        <w:t>has been the rationale for the</w:t>
      </w:r>
      <w:r w:rsidR="007E3DB9" w:rsidRPr="005A3607">
        <w:rPr>
          <w:rStyle w:val="apple-converted-space"/>
          <w:rFonts w:asciiTheme="majorBidi" w:hAnsiTheme="majorBidi" w:cstheme="majorBidi"/>
        </w:rPr>
        <w:t> </w:t>
      </w:r>
      <w:r w:rsidR="007E3DB9" w:rsidRPr="005A3607">
        <w:rPr>
          <w:rStyle w:val="searchtermshighlighted"/>
          <w:rFonts w:asciiTheme="majorBidi" w:hAnsiTheme="majorBidi" w:cstheme="majorBidi"/>
        </w:rPr>
        <w:t>money</w:t>
      </w:r>
      <w:r w:rsidR="007E3DB9" w:rsidRPr="005A3607">
        <w:rPr>
          <w:rStyle w:val="apple-converted-space"/>
          <w:rFonts w:asciiTheme="majorBidi" w:hAnsiTheme="majorBidi" w:cstheme="majorBidi"/>
        </w:rPr>
        <w:t> </w:t>
      </w:r>
      <w:r w:rsidR="007E3DB9" w:rsidRPr="005A3607">
        <w:rPr>
          <w:rStyle w:val="apple-style-span"/>
          <w:rFonts w:asciiTheme="majorBidi" w:hAnsiTheme="majorBidi" w:cstheme="majorBidi"/>
        </w:rPr>
        <w:t>supply rule derived from the Quantity Theory of</w:t>
      </w:r>
      <w:r w:rsidR="007E3DB9" w:rsidRPr="005A3607">
        <w:rPr>
          <w:rStyle w:val="apple-converted-space"/>
          <w:rFonts w:asciiTheme="majorBidi" w:hAnsiTheme="majorBidi" w:cstheme="majorBidi"/>
        </w:rPr>
        <w:t> </w:t>
      </w:r>
      <w:r w:rsidR="007E3DB9" w:rsidRPr="005A3607">
        <w:rPr>
          <w:rStyle w:val="searchtermshighlighted"/>
          <w:rFonts w:asciiTheme="majorBidi" w:hAnsiTheme="majorBidi" w:cstheme="majorBidi"/>
        </w:rPr>
        <w:t>Money</w:t>
      </w:r>
      <w:r w:rsidR="007E3DB9" w:rsidRPr="005A3607">
        <w:rPr>
          <w:rStyle w:val="apple-style-span"/>
          <w:rFonts w:asciiTheme="majorBidi" w:hAnsiTheme="majorBidi" w:cstheme="majorBidi"/>
        </w:rPr>
        <w:t>. Consequently, to curb inflation, the general</w:t>
      </w:r>
      <w:r w:rsidR="007E3DB9" w:rsidRPr="005A3607">
        <w:rPr>
          <w:rStyle w:val="apple-converted-space"/>
          <w:rFonts w:asciiTheme="majorBidi" w:hAnsiTheme="majorBidi" w:cstheme="majorBidi"/>
        </w:rPr>
        <w:t> </w:t>
      </w:r>
      <w:r w:rsidR="007E3DB9" w:rsidRPr="005A3607">
        <w:rPr>
          <w:rStyle w:val="searchtermshighlighted"/>
          <w:rFonts w:asciiTheme="majorBidi" w:hAnsiTheme="majorBidi" w:cstheme="majorBidi"/>
        </w:rPr>
        <w:t>price</w:t>
      </w:r>
      <w:r w:rsidR="007E3DB9" w:rsidRPr="005A3607">
        <w:rPr>
          <w:rStyle w:val="apple-converted-space"/>
          <w:rFonts w:asciiTheme="majorBidi" w:hAnsiTheme="majorBidi" w:cstheme="majorBidi"/>
        </w:rPr>
        <w:t> </w:t>
      </w:r>
      <w:r w:rsidR="007E3DB9" w:rsidRPr="005A3607">
        <w:rPr>
          <w:rStyle w:val="apple-style-span"/>
          <w:rFonts w:asciiTheme="majorBidi" w:hAnsiTheme="majorBidi" w:cstheme="majorBidi"/>
        </w:rPr>
        <w:t xml:space="preserve">level index is the lever for periodic adjustments of the short-term interest rate. Nevertheless, monetary control is ineffective due the fact that: (1) with the </w:t>
      </w:r>
      <w:r w:rsidR="007E3DB9" w:rsidRPr="005A3607">
        <w:rPr>
          <w:rStyle w:val="apple-style-span"/>
          <w:rFonts w:asciiTheme="majorBidi" w:hAnsiTheme="majorBidi" w:cstheme="majorBidi"/>
        </w:rPr>
        <w:lastRenderedPageBreak/>
        <w:t>collapse of the gold standard during the 1930s and the removal of the final link to a commodity - gold (an exogenous variable with a variable nominal value),</w:t>
      </w:r>
      <w:r w:rsidR="007E3DB9" w:rsidRPr="005A3607">
        <w:rPr>
          <w:rStyle w:val="apple-converted-space"/>
          <w:rFonts w:asciiTheme="majorBidi" w:hAnsiTheme="majorBidi" w:cstheme="majorBidi"/>
        </w:rPr>
        <w:t> </w:t>
      </w:r>
      <w:r w:rsidR="007E3DB9" w:rsidRPr="005A3607">
        <w:rPr>
          <w:rStyle w:val="searchtermshighlighted"/>
          <w:rFonts w:asciiTheme="majorBidi" w:hAnsiTheme="majorBidi" w:cstheme="majorBidi"/>
        </w:rPr>
        <w:t>fiat</w:t>
      </w:r>
      <w:r w:rsidR="007E3DB9" w:rsidRPr="005A3607">
        <w:rPr>
          <w:rStyle w:val="apple-converted-space"/>
          <w:rFonts w:asciiTheme="majorBidi" w:hAnsiTheme="majorBidi" w:cstheme="majorBidi"/>
        </w:rPr>
        <w:t> </w:t>
      </w:r>
      <w:r w:rsidR="007E3DB9" w:rsidRPr="005A3607">
        <w:rPr>
          <w:rStyle w:val="searchtermshighlighted"/>
          <w:rFonts w:asciiTheme="majorBidi" w:hAnsiTheme="majorBidi" w:cstheme="majorBidi"/>
        </w:rPr>
        <w:t>money</w:t>
      </w:r>
      <w:r w:rsidR="007E3DB9" w:rsidRPr="005A3607">
        <w:rPr>
          <w:rStyle w:val="apple-converted-space"/>
          <w:rFonts w:asciiTheme="majorBidi" w:hAnsiTheme="majorBidi" w:cstheme="majorBidi"/>
        </w:rPr>
        <w:t> </w:t>
      </w:r>
      <w:r w:rsidR="007E3DB9" w:rsidRPr="005A3607">
        <w:rPr>
          <w:rStyle w:val="apple-style-span"/>
          <w:rFonts w:asciiTheme="majorBidi" w:hAnsiTheme="majorBidi" w:cstheme="majorBidi"/>
        </w:rPr>
        <w:t>(an endogenous variable with an invariable nominal value) emerged unchallenged; (2) the realignment of relative prices - the perennial cause of changes in the general level of prices - cannot be abated since it is the effective mechanism for the efficient functioning of the economic system; and (3) unrestrained consumer credit - driven by unbridled aggressive business policies and producing documented credit cycles with periods of credit expansion and credit saturation - has severely amplified the impact of</w:t>
      </w:r>
      <w:r w:rsidR="007E3DB9" w:rsidRPr="005A3607">
        <w:rPr>
          <w:rStyle w:val="apple-converted-space"/>
          <w:rFonts w:asciiTheme="majorBidi" w:hAnsiTheme="majorBidi" w:cstheme="majorBidi"/>
        </w:rPr>
        <w:t> </w:t>
      </w:r>
      <w:r w:rsidR="007E3DB9" w:rsidRPr="005A3607">
        <w:rPr>
          <w:rStyle w:val="searchtermshighlighted"/>
          <w:rFonts w:asciiTheme="majorBidi" w:hAnsiTheme="majorBidi" w:cstheme="majorBidi"/>
        </w:rPr>
        <w:t>price</w:t>
      </w:r>
      <w:r w:rsidR="007E3DB9" w:rsidRPr="005A3607">
        <w:rPr>
          <w:rStyle w:val="apple-converted-space"/>
          <w:rFonts w:asciiTheme="majorBidi" w:hAnsiTheme="majorBidi" w:cstheme="majorBidi"/>
        </w:rPr>
        <w:t> </w:t>
      </w:r>
      <w:r w:rsidR="007E3DB9" w:rsidRPr="005A3607">
        <w:rPr>
          <w:rStyle w:val="apple-style-span"/>
          <w:rFonts w:asciiTheme="majorBidi" w:hAnsiTheme="majorBidi" w:cstheme="majorBidi"/>
        </w:rPr>
        <w:t>level changes.</w:t>
      </w:r>
    </w:p>
    <w:p w:rsidR="005A3607" w:rsidRDefault="005A3607" w:rsidP="005A3607">
      <w:pPr>
        <w:spacing w:line="480" w:lineRule="auto"/>
        <w:rPr>
          <w:rStyle w:val="apple-style-span"/>
          <w:rFonts w:asciiTheme="majorBidi" w:hAnsiTheme="majorBidi" w:cstheme="majorBidi"/>
        </w:rPr>
      </w:pPr>
    </w:p>
    <w:p w:rsidR="005A3607" w:rsidRDefault="005A3607" w:rsidP="005A3607">
      <w:pPr>
        <w:spacing w:line="480" w:lineRule="auto"/>
        <w:rPr>
          <w:rStyle w:val="apple-style-span"/>
          <w:rFonts w:asciiTheme="majorBidi" w:hAnsiTheme="majorBidi" w:cstheme="majorBidi"/>
        </w:rPr>
      </w:pPr>
      <w:r w:rsidRPr="005A3607">
        <w:rPr>
          <w:rStyle w:val="apple-style-span"/>
          <w:rFonts w:asciiTheme="majorBidi" w:hAnsiTheme="majorBidi" w:cstheme="majorBidi"/>
        </w:rPr>
        <w:t>Eic</w:t>
      </w:r>
      <w:r w:rsidR="007058C9">
        <w:rPr>
          <w:rStyle w:val="apple-style-span"/>
          <w:rFonts w:asciiTheme="majorBidi" w:hAnsiTheme="majorBidi" w:cstheme="majorBidi"/>
        </w:rPr>
        <w:t>hengreen, Barry and</w:t>
      </w:r>
      <w:r w:rsidR="005956DB">
        <w:rPr>
          <w:rStyle w:val="apple-style-span"/>
          <w:rFonts w:asciiTheme="majorBidi" w:hAnsiTheme="majorBidi" w:cstheme="majorBidi"/>
        </w:rPr>
        <w:t xml:space="preserve"> Peter (</w:t>
      </w:r>
      <w:r w:rsidRPr="005A3607">
        <w:rPr>
          <w:rStyle w:val="apple-style-span"/>
          <w:rFonts w:asciiTheme="majorBidi" w:hAnsiTheme="majorBidi" w:cstheme="majorBidi"/>
        </w:rPr>
        <w:t>1997)</w:t>
      </w:r>
      <w:r w:rsidRPr="005A3607">
        <w:rPr>
          <w:rFonts w:asciiTheme="majorBidi" w:hAnsiTheme="majorBidi" w:cstheme="majorBidi"/>
        </w:rPr>
        <w:t xml:space="preserve"> </w:t>
      </w:r>
      <w:r w:rsidR="002D5F9F">
        <w:rPr>
          <w:rStyle w:val="apple-style-span"/>
          <w:rFonts w:asciiTheme="majorBidi" w:hAnsiTheme="majorBidi" w:cstheme="majorBidi"/>
        </w:rPr>
        <w:t>t</w:t>
      </w:r>
      <w:r w:rsidRPr="005A3607">
        <w:rPr>
          <w:rStyle w:val="apple-style-span"/>
          <w:rFonts w:asciiTheme="majorBidi" w:hAnsiTheme="majorBidi" w:cstheme="majorBidi"/>
        </w:rPr>
        <w:t>his paper, attempts to explain why political leaders and central bankers continued to adhere to the</w:t>
      </w:r>
      <w:r w:rsidRPr="005A3607">
        <w:rPr>
          <w:rStyle w:val="apple-converted-space"/>
          <w:rFonts w:asciiTheme="majorBidi" w:hAnsiTheme="majorBidi" w:cstheme="majorBidi"/>
        </w:rPr>
        <w:t> </w:t>
      </w:r>
      <w:r w:rsidRPr="005A3607">
        <w:rPr>
          <w:rStyle w:val="searchtermshighlighted"/>
          <w:rFonts w:asciiTheme="majorBidi" w:hAnsiTheme="majorBidi" w:cstheme="majorBidi"/>
        </w:rPr>
        <w:t>gold</w:t>
      </w:r>
      <w:r w:rsidRPr="005A3607">
        <w:rPr>
          <w:rStyle w:val="apple-converted-space"/>
          <w:rFonts w:asciiTheme="majorBidi" w:hAnsiTheme="majorBidi" w:cstheme="majorBidi"/>
        </w:rPr>
        <w:t> </w:t>
      </w:r>
      <w:r w:rsidRPr="005A3607">
        <w:rPr>
          <w:rStyle w:val="searchtermshighlighted"/>
          <w:rFonts w:asciiTheme="majorBidi" w:hAnsiTheme="majorBidi" w:cstheme="majorBidi"/>
        </w:rPr>
        <w:t>standard</w:t>
      </w:r>
      <w:r w:rsidRPr="005A3607">
        <w:rPr>
          <w:rStyle w:val="apple-converted-space"/>
          <w:rFonts w:asciiTheme="majorBidi" w:hAnsiTheme="majorBidi" w:cstheme="majorBidi"/>
        </w:rPr>
        <w:t> </w:t>
      </w:r>
      <w:r w:rsidRPr="005A3607">
        <w:rPr>
          <w:rStyle w:val="apple-style-span"/>
          <w:rFonts w:asciiTheme="majorBidi" w:hAnsiTheme="majorBidi" w:cstheme="majorBidi"/>
        </w:rPr>
        <w:t>as the Great Depression intensified. The research does not focus on the effects of the</w:t>
      </w:r>
      <w:r w:rsidRPr="005A3607">
        <w:rPr>
          <w:rStyle w:val="apple-converted-space"/>
          <w:rFonts w:asciiTheme="majorBidi" w:hAnsiTheme="majorBidi" w:cstheme="majorBidi"/>
        </w:rPr>
        <w:t> </w:t>
      </w:r>
      <w:r w:rsidRPr="005A3607">
        <w:rPr>
          <w:rStyle w:val="searchtermshighlighted"/>
          <w:rFonts w:asciiTheme="majorBidi" w:hAnsiTheme="majorBidi" w:cstheme="majorBidi"/>
        </w:rPr>
        <w:t>gold</w:t>
      </w:r>
      <w:r w:rsidRPr="005A3607">
        <w:rPr>
          <w:rStyle w:val="apple-converted-space"/>
          <w:rFonts w:asciiTheme="majorBidi" w:hAnsiTheme="majorBidi" w:cstheme="majorBidi"/>
        </w:rPr>
        <w:t> </w:t>
      </w:r>
      <w:r w:rsidRPr="005A3607">
        <w:rPr>
          <w:rStyle w:val="searchtermshighlighted"/>
          <w:rFonts w:asciiTheme="majorBidi" w:hAnsiTheme="majorBidi" w:cstheme="majorBidi"/>
        </w:rPr>
        <w:t>standard</w:t>
      </w:r>
      <w:r w:rsidRPr="005A3607">
        <w:rPr>
          <w:rStyle w:val="apple-converted-space"/>
          <w:rFonts w:asciiTheme="majorBidi" w:hAnsiTheme="majorBidi" w:cstheme="majorBidi"/>
        </w:rPr>
        <w:t> </w:t>
      </w:r>
      <w:r w:rsidRPr="005A3607">
        <w:rPr>
          <w:rStyle w:val="apple-style-span"/>
          <w:rFonts w:asciiTheme="majorBidi" w:hAnsiTheme="majorBidi" w:cstheme="majorBidi"/>
        </w:rPr>
        <w:t>on the Depression, which we and others have documented elsewhere, but on the reasons why policy makers chose the policies they did. We argue that the mentality of the</w:t>
      </w:r>
      <w:r w:rsidRPr="005A3607">
        <w:rPr>
          <w:rStyle w:val="apple-converted-space"/>
          <w:rFonts w:asciiTheme="majorBidi" w:hAnsiTheme="majorBidi" w:cstheme="majorBidi"/>
        </w:rPr>
        <w:t> </w:t>
      </w:r>
      <w:r w:rsidRPr="005A3607">
        <w:rPr>
          <w:rStyle w:val="searchtermshighlighted"/>
          <w:rFonts w:asciiTheme="majorBidi" w:hAnsiTheme="majorBidi" w:cstheme="majorBidi"/>
        </w:rPr>
        <w:t>gold</w:t>
      </w:r>
      <w:r w:rsidRPr="005A3607">
        <w:rPr>
          <w:rStyle w:val="apple-converted-space"/>
          <w:rFonts w:asciiTheme="majorBidi" w:hAnsiTheme="majorBidi" w:cstheme="majorBidi"/>
        </w:rPr>
        <w:t> </w:t>
      </w:r>
      <w:r w:rsidRPr="005A3607">
        <w:rPr>
          <w:rStyle w:val="searchtermshighlighted"/>
          <w:rFonts w:asciiTheme="majorBidi" w:hAnsiTheme="majorBidi" w:cstheme="majorBidi"/>
        </w:rPr>
        <w:t>standard</w:t>
      </w:r>
      <w:r w:rsidRPr="005A3607">
        <w:rPr>
          <w:rStyle w:val="apple-converted-space"/>
          <w:rFonts w:asciiTheme="majorBidi" w:hAnsiTheme="majorBidi" w:cstheme="majorBidi"/>
        </w:rPr>
        <w:t> </w:t>
      </w:r>
      <w:r w:rsidRPr="005A3607">
        <w:rPr>
          <w:rStyle w:val="apple-style-span"/>
          <w:rFonts w:asciiTheme="majorBidi" w:hAnsiTheme="majorBidi" w:cstheme="majorBidi"/>
        </w:rPr>
        <w:t>was pervasive and compelling to the leaders of the interwar economy. It was expressed and reinforced by the discourse among these leaders. It was opposed and finally defeated by mass politics, but only after the interaction of national policies had drawn the world into the Great Depression.</w:t>
      </w:r>
    </w:p>
    <w:p w:rsidR="00854342" w:rsidRDefault="00854342" w:rsidP="006F2755">
      <w:pPr>
        <w:spacing w:line="480" w:lineRule="auto"/>
        <w:rPr>
          <w:b/>
          <w:bCs/>
        </w:rPr>
      </w:pPr>
    </w:p>
    <w:p w:rsidR="00854342" w:rsidRDefault="00854342" w:rsidP="006F2755">
      <w:pPr>
        <w:spacing w:line="480" w:lineRule="auto"/>
        <w:rPr>
          <w:b/>
          <w:bCs/>
        </w:rPr>
      </w:pPr>
    </w:p>
    <w:p w:rsidR="00854342" w:rsidRDefault="00854342" w:rsidP="006F2755">
      <w:pPr>
        <w:spacing w:line="480" w:lineRule="auto"/>
        <w:rPr>
          <w:b/>
          <w:bCs/>
        </w:rPr>
      </w:pPr>
    </w:p>
    <w:p w:rsidR="00C5663D" w:rsidRDefault="00C5663D" w:rsidP="00C12325">
      <w:pPr>
        <w:spacing w:line="480" w:lineRule="auto"/>
        <w:jc w:val="center"/>
        <w:rPr>
          <w:b/>
          <w:bCs/>
        </w:rPr>
      </w:pPr>
    </w:p>
    <w:p w:rsidR="00C5663D" w:rsidRDefault="00C5663D" w:rsidP="00C12325">
      <w:pPr>
        <w:spacing w:line="480" w:lineRule="auto"/>
        <w:jc w:val="center"/>
        <w:rPr>
          <w:b/>
          <w:bCs/>
        </w:rPr>
      </w:pPr>
    </w:p>
    <w:p w:rsidR="006F2755" w:rsidRPr="00986931" w:rsidRDefault="00C12325" w:rsidP="00C12325">
      <w:pPr>
        <w:spacing w:line="480" w:lineRule="auto"/>
        <w:jc w:val="center"/>
        <w:rPr>
          <w:b/>
          <w:bCs/>
        </w:rPr>
      </w:pPr>
      <w:r>
        <w:rPr>
          <w:b/>
          <w:bCs/>
        </w:rPr>
        <w:lastRenderedPageBreak/>
        <w:t>Hypotheses</w:t>
      </w:r>
    </w:p>
    <w:p w:rsidR="006F2755" w:rsidRDefault="006F2755" w:rsidP="006F2755">
      <w:pPr>
        <w:spacing w:line="480" w:lineRule="auto"/>
        <w:rPr>
          <w:b/>
          <w:bCs/>
        </w:rPr>
      </w:pPr>
      <w:r w:rsidRPr="00986931">
        <w:t xml:space="preserve"> </w:t>
      </w:r>
      <w:r w:rsidRPr="00986931">
        <w:rPr>
          <w:b/>
          <w:bCs/>
        </w:rPr>
        <w:t>The first hypothesis:</w:t>
      </w:r>
    </w:p>
    <w:p w:rsidR="00430CC7" w:rsidRDefault="00430CC7" w:rsidP="00EC01A7">
      <w:pPr>
        <w:spacing w:line="480" w:lineRule="auto"/>
      </w:pPr>
      <w:r w:rsidRPr="005A6614">
        <w:t>Ho:</w:t>
      </w:r>
      <w:r>
        <w:t xml:space="preserve"> In the </w:t>
      </w:r>
      <w:r w:rsidR="00EC01A7">
        <w:t>USA, the</w:t>
      </w:r>
      <w:r w:rsidR="00114200">
        <w:t xml:space="preserve"> coefficient of variation of</w:t>
      </w:r>
      <w:r w:rsidR="00C12325">
        <w:t xml:space="preserve"> consumer price index</w:t>
      </w:r>
      <w:r w:rsidR="00114200">
        <w:t xml:space="preserve"> </w:t>
      </w:r>
      <w:r w:rsidR="00C12325">
        <w:t>(</w:t>
      </w:r>
      <w:r w:rsidR="00EC01A7">
        <w:t>CPI</w:t>
      </w:r>
      <w:r w:rsidR="00C12325">
        <w:t>)</w:t>
      </w:r>
      <w:r w:rsidR="00EC01A7">
        <w:t xml:space="preserve"> will</w:t>
      </w:r>
      <w:r>
        <w:t xml:space="preserve"> n</w:t>
      </w:r>
      <w:r w:rsidR="00114200">
        <w:t>o</w:t>
      </w:r>
      <w:r w:rsidR="001012C7">
        <w:t>t</w:t>
      </w:r>
      <w:r w:rsidR="00114200">
        <w:t xml:space="preserve"> significantly</w:t>
      </w:r>
      <w:r w:rsidR="00EC01A7">
        <w:t xml:space="preserve"> different or significantly</w:t>
      </w:r>
      <w:r w:rsidR="00114200">
        <w:t xml:space="preserve"> lower </w:t>
      </w:r>
      <w:r w:rsidR="00EC01A7">
        <w:t>than the</w:t>
      </w:r>
      <w:r w:rsidR="00114200">
        <w:t xml:space="preserve"> coefficient of variation </w:t>
      </w:r>
      <w:r w:rsidR="00EC01A7">
        <w:t>of</w:t>
      </w:r>
      <w:r w:rsidR="00BA0B23">
        <w:t xml:space="preserve"> adjusted consumer price index</w:t>
      </w:r>
      <w:r w:rsidR="00EC01A7">
        <w:t xml:space="preserve"> </w:t>
      </w:r>
      <w:r w:rsidR="00BA0B23">
        <w:t>(</w:t>
      </w:r>
      <w:r w:rsidR="00EC01A7">
        <w:t>ACPI</w:t>
      </w:r>
      <w:r w:rsidR="00BA0B23">
        <w:t>)</w:t>
      </w:r>
      <w:r w:rsidR="00EC01A7">
        <w:t>.</w:t>
      </w:r>
      <w:r>
        <w:t xml:space="preserve"> </w:t>
      </w:r>
    </w:p>
    <w:p w:rsidR="00430CC7" w:rsidRDefault="00430CC7" w:rsidP="00430CC7">
      <w:pPr>
        <w:spacing w:line="480" w:lineRule="auto"/>
      </w:pPr>
      <w:r>
        <w:t xml:space="preserve">Ha: In the </w:t>
      </w:r>
      <w:r w:rsidR="00EC01A7">
        <w:t>USA</w:t>
      </w:r>
      <w:r w:rsidR="00CF75DD">
        <w:t>,</w:t>
      </w:r>
      <w:r w:rsidR="00EC01A7">
        <w:t xml:space="preserve"> the</w:t>
      </w:r>
      <w:r w:rsidR="001C73F5">
        <w:t xml:space="preserve"> coefficient of variation of consumer price index</w:t>
      </w:r>
      <w:r w:rsidR="00EC01A7">
        <w:t xml:space="preserve"> </w:t>
      </w:r>
      <w:r w:rsidR="001C73F5">
        <w:t>(</w:t>
      </w:r>
      <w:r w:rsidR="00EC01A7">
        <w:t>CPI</w:t>
      </w:r>
      <w:r w:rsidR="001C73F5">
        <w:t>)</w:t>
      </w:r>
      <w:r w:rsidR="00EC01A7">
        <w:t xml:space="preserve"> </w:t>
      </w:r>
      <w:r>
        <w:t>will be significantly</w:t>
      </w:r>
      <w:r w:rsidR="00EC01A7">
        <w:t xml:space="preserve"> higher than the coe</w:t>
      </w:r>
      <w:r w:rsidR="001C73F5">
        <w:t>fficient of variation of adjusted consumer price index</w:t>
      </w:r>
      <w:r w:rsidR="00EC01A7">
        <w:t xml:space="preserve"> </w:t>
      </w:r>
      <w:r w:rsidR="001C73F5">
        <w:t>(</w:t>
      </w:r>
      <w:r w:rsidR="00EC01A7">
        <w:t>ACPI</w:t>
      </w:r>
      <w:r w:rsidR="001C73F5">
        <w:t>)</w:t>
      </w:r>
      <w:r w:rsidR="00EC01A7">
        <w:t>.</w:t>
      </w:r>
    </w:p>
    <w:p w:rsidR="00F32AA5" w:rsidRDefault="00F32AA5" w:rsidP="00F32AA5">
      <w:pPr>
        <w:spacing w:line="480" w:lineRule="auto"/>
        <w:rPr>
          <w:b/>
          <w:bCs/>
        </w:rPr>
      </w:pPr>
      <w:r w:rsidRPr="00986931">
        <w:rPr>
          <w:b/>
          <w:bCs/>
        </w:rPr>
        <w:t>The second hypothesis:</w:t>
      </w:r>
    </w:p>
    <w:p w:rsidR="00281CC9" w:rsidRDefault="00281CC9" w:rsidP="00281CC9">
      <w:pPr>
        <w:spacing w:line="480" w:lineRule="auto"/>
      </w:pPr>
      <w:r w:rsidRPr="005A6614">
        <w:t>Ho:</w:t>
      </w:r>
      <w:r>
        <w:t xml:space="preserve"> In the USA, the mean of</w:t>
      </w:r>
      <w:r w:rsidR="001C73F5">
        <w:t xml:space="preserve"> inflation rate</w:t>
      </w:r>
      <w:r>
        <w:t xml:space="preserve"> </w:t>
      </w:r>
      <w:r w:rsidR="001C73F5">
        <w:t>(</w:t>
      </w:r>
      <w:r>
        <w:t>IR</w:t>
      </w:r>
      <w:r w:rsidR="001C73F5">
        <w:t>)</w:t>
      </w:r>
      <w:r>
        <w:t xml:space="preserve"> will no</w:t>
      </w:r>
      <w:r w:rsidR="001012C7">
        <w:t>t</w:t>
      </w:r>
      <w:r>
        <w:t xml:space="preserve"> significantly different or signi</w:t>
      </w:r>
      <w:r w:rsidR="001C73F5">
        <w:t>ficantly lower than the mean of adjusted inflation rate (</w:t>
      </w:r>
      <w:r>
        <w:t>AIR</w:t>
      </w:r>
      <w:r w:rsidR="001C73F5">
        <w:t>)</w:t>
      </w:r>
      <w:r>
        <w:t xml:space="preserve">. </w:t>
      </w:r>
    </w:p>
    <w:p w:rsidR="00281CC9" w:rsidRDefault="00281CC9" w:rsidP="00281CC9">
      <w:pPr>
        <w:spacing w:line="480" w:lineRule="auto"/>
      </w:pPr>
      <w:r>
        <w:t>Ha: In the USA, the mean of</w:t>
      </w:r>
      <w:r w:rsidR="001C73F5">
        <w:t xml:space="preserve"> inflation rate (</w:t>
      </w:r>
      <w:r>
        <w:t>IR</w:t>
      </w:r>
      <w:r w:rsidR="001C73F5">
        <w:t>)</w:t>
      </w:r>
      <w:r>
        <w:t xml:space="preserve"> will be significantly higher than the mean</w:t>
      </w:r>
      <w:r w:rsidR="001C73F5">
        <w:t xml:space="preserve"> of</w:t>
      </w:r>
      <w:r>
        <w:t xml:space="preserve"> </w:t>
      </w:r>
      <w:r w:rsidR="001C73F5">
        <w:t>adjusted inflation rate</w:t>
      </w:r>
      <w:r>
        <w:t xml:space="preserve"> </w:t>
      </w:r>
      <w:r w:rsidR="001C73F5">
        <w:t>(</w:t>
      </w:r>
      <w:r>
        <w:t>AIR</w:t>
      </w:r>
      <w:r w:rsidR="001C73F5">
        <w:t>)</w:t>
      </w:r>
      <w:r>
        <w:t>.</w:t>
      </w:r>
    </w:p>
    <w:p w:rsidR="00281CC9" w:rsidRDefault="00281CC9" w:rsidP="00281CC9">
      <w:pPr>
        <w:spacing w:line="480" w:lineRule="auto"/>
        <w:rPr>
          <w:b/>
          <w:bCs/>
        </w:rPr>
      </w:pPr>
      <w:r w:rsidRPr="00986931">
        <w:rPr>
          <w:b/>
          <w:bCs/>
        </w:rPr>
        <w:t>The third hypothesis:</w:t>
      </w:r>
    </w:p>
    <w:p w:rsidR="00281CC9" w:rsidRDefault="00281CC9" w:rsidP="00281CC9">
      <w:pPr>
        <w:spacing w:line="480" w:lineRule="auto"/>
      </w:pPr>
      <w:r w:rsidRPr="005A6614">
        <w:t>Ho:</w:t>
      </w:r>
      <w:r>
        <w:t xml:space="preserve"> In the USA, the coefficient of variation of</w:t>
      </w:r>
      <w:r w:rsidR="001C73F5">
        <w:t xml:space="preserve"> inflation rate</w:t>
      </w:r>
      <w:r>
        <w:t xml:space="preserve"> </w:t>
      </w:r>
      <w:r w:rsidR="001C73F5">
        <w:t>(</w:t>
      </w:r>
      <w:r>
        <w:t>IR</w:t>
      </w:r>
      <w:r w:rsidR="001C73F5">
        <w:t>)</w:t>
      </w:r>
      <w:r>
        <w:t xml:space="preserve"> will no</w:t>
      </w:r>
      <w:r w:rsidR="001012C7">
        <w:t>t</w:t>
      </w:r>
      <w:r>
        <w:t xml:space="preserve"> significantly different or significantly higher than the coefficient of variation of</w:t>
      </w:r>
      <w:r w:rsidR="001C73F5">
        <w:t xml:space="preserve"> adjusted inflation rate</w:t>
      </w:r>
      <w:r>
        <w:t xml:space="preserve"> </w:t>
      </w:r>
      <w:r w:rsidR="001C73F5">
        <w:t>(</w:t>
      </w:r>
      <w:r>
        <w:t>AIR</w:t>
      </w:r>
      <w:r w:rsidR="001C73F5">
        <w:t>)</w:t>
      </w:r>
      <w:r>
        <w:t xml:space="preserve">. </w:t>
      </w:r>
    </w:p>
    <w:p w:rsidR="00281CC9" w:rsidRDefault="00281CC9" w:rsidP="00281CC9">
      <w:pPr>
        <w:spacing w:line="480" w:lineRule="auto"/>
      </w:pPr>
      <w:r>
        <w:t>Ha: In the USA, the coefficient of variation of</w:t>
      </w:r>
      <w:r w:rsidR="001C73F5">
        <w:t xml:space="preserve"> inflation rate</w:t>
      </w:r>
      <w:r>
        <w:t xml:space="preserve"> </w:t>
      </w:r>
      <w:r w:rsidR="001C73F5">
        <w:t>(</w:t>
      </w:r>
      <w:r>
        <w:t>IR</w:t>
      </w:r>
      <w:r w:rsidR="001C73F5">
        <w:t>)</w:t>
      </w:r>
      <w:r>
        <w:t xml:space="preserve"> will be significantly lower than the coefficient of variation of</w:t>
      </w:r>
      <w:r w:rsidR="001C73F5">
        <w:t xml:space="preserve"> adjusted inflation rate</w:t>
      </w:r>
      <w:r>
        <w:t xml:space="preserve"> </w:t>
      </w:r>
      <w:r w:rsidR="001C73F5">
        <w:t>(</w:t>
      </w:r>
      <w:r>
        <w:t>AIR</w:t>
      </w:r>
      <w:r w:rsidR="001C73F5">
        <w:t>)</w:t>
      </w:r>
      <w:r>
        <w:t>.</w:t>
      </w:r>
    </w:p>
    <w:p w:rsidR="00281CC9" w:rsidRDefault="00281CC9" w:rsidP="00281CC9">
      <w:pPr>
        <w:spacing w:line="480" w:lineRule="auto"/>
        <w:rPr>
          <w:b/>
          <w:bCs/>
        </w:rPr>
      </w:pPr>
      <w:r w:rsidRPr="00281CC9">
        <w:rPr>
          <w:b/>
          <w:bCs/>
        </w:rPr>
        <w:t>The fourth hypothesis:</w:t>
      </w:r>
    </w:p>
    <w:p w:rsidR="00A74DC7" w:rsidRDefault="00A74DC7" w:rsidP="00A74DC7">
      <w:pPr>
        <w:spacing w:line="480" w:lineRule="auto"/>
      </w:pPr>
      <w:r w:rsidRPr="005A6614">
        <w:t>Ho:</w:t>
      </w:r>
      <w:r>
        <w:t xml:space="preserve"> In the UK, the coefficient of variation of consumer price index (CPI) will not significantly different or significantly lower than the coefficient of variation of adjusted consumer price index (ACPI). </w:t>
      </w:r>
    </w:p>
    <w:p w:rsidR="00A74DC7" w:rsidRDefault="00A74DC7" w:rsidP="00A74DC7">
      <w:pPr>
        <w:spacing w:line="480" w:lineRule="auto"/>
      </w:pPr>
      <w:r>
        <w:lastRenderedPageBreak/>
        <w:t>Ha: In the UK, the coefficient of variation of consumer price index (CPI) will be significantly higher than the coefficient of variation of adjusted consumer price index (ACPI).</w:t>
      </w:r>
    </w:p>
    <w:p w:rsidR="00281CC9" w:rsidRDefault="00281CC9" w:rsidP="00281CC9">
      <w:pPr>
        <w:spacing w:line="480" w:lineRule="auto"/>
        <w:rPr>
          <w:b/>
          <w:bCs/>
        </w:rPr>
      </w:pPr>
      <w:r>
        <w:rPr>
          <w:b/>
          <w:bCs/>
        </w:rPr>
        <w:t>The fifth hypothesis:</w:t>
      </w:r>
    </w:p>
    <w:p w:rsidR="008C2A71" w:rsidRDefault="008C2A71" w:rsidP="008C2A71">
      <w:pPr>
        <w:spacing w:line="480" w:lineRule="auto"/>
      </w:pPr>
      <w:r w:rsidRPr="005A6614">
        <w:t>Ho:</w:t>
      </w:r>
      <w:r>
        <w:t xml:space="preserve"> In the UK, the mean of inflation rate (IR) will not significantly different or significantly lower than the mean of adjusted inflation rate (AIR). </w:t>
      </w:r>
    </w:p>
    <w:p w:rsidR="008C2A71" w:rsidRDefault="008C2A71" w:rsidP="008C2A71">
      <w:pPr>
        <w:spacing w:line="480" w:lineRule="auto"/>
      </w:pPr>
      <w:r>
        <w:t>Ha: In the UK, the mean of inflation rate (IR) will be significantly higher than the mean of adjusted inflation rate (AIR).</w:t>
      </w:r>
    </w:p>
    <w:p w:rsidR="00281CC9" w:rsidRDefault="00281CC9" w:rsidP="00281CC9">
      <w:pPr>
        <w:spacing w:line="480" w:lineRule="auto"/>
        <w:rPr>
          <w:b/>
          <w:bCs/>
        </w:rPr>
      </w:pPr>
      <w:r>
        <w:rPr>
          <w:b/>
          <w:bCs/>
        </w:rPr>
        <w:t>The sixth hypothesis:</w:t>
      </w:r>
    </w:p>
    <w:p w:rsidR="00F27CDD" w:rsidRDefault="00F27CDD" w:rsidP="00F27CDD">
      <w:pPr>
        <w:spacing w:line="480" w:lineRule="auto"/>
      </w:pPr>
      <w:r w:rsidRPr="005A6614">
        <w:t>Ho:</w:t>
      </w:r>
      <w:r>
        <w:t xml:space="preserve"> In the UK, the coefficient of variation of inflation rate (IR) will not significantly different or significantly higher than the coefficient of variation of adjusted inflation rate (AIR). </w:t>
      </w:r>
    </w:p>
    <w:p w:rsidR="00F27CDD" w:rsidRDefault="00F27CDD" w:rsidP="00F27CDD">
      <w:pPr>
        <w:spacing w:line="480" w:lineRule="auto"/>
      </w:pPr>
      <w:r>
        <w:t>Ha: In the UK, the coefficient of variation of inflation rate (IR) will be significantly lower than the coefficient of variation of adjusted inflation rate (AIR).</w:t>
      </w:r>
    </w:p>
    <w:p w:rsidR="00281CC9" w:rsidRDefault="00281CC9" w:rsidP="00281CC9">
      <w:pPr>
        <w:spacing w:line="480" w:lineRule="auto"/>
        <w:rPr>
          <w:b/>
          <w:bCs/>
        </w:rPr>
      </w:pPr>
      <w:r>
        <w:rPr>
          <w:b/>
          <w:bCs/>
        </w:rPr>
        <w:t>The seventh hypothesis:</w:t>
      </w:r>
    </w:p>
    <w:p w:rsidR="00A74DC7" w:rsidRDefault="00A74DC7" w:rsidP="00A74DC7">
      <w:pPr>
        <w:spacing w:line="480" w:lineRule="auto"/>
      </w:pPr>
      <w:r w:rsidRPr="005A6614">
        <w:t>Ho:</w:t>
      </w:r>
      <w:r>
        <w:t xml:space="preserve"> In the Japan, the coefficient of variation of consumer price index (CPI) will not significantly different or significantly lower than the coefficient of variation of adjusted consumer price index (ACPI). </w:t>
      </w:r>
    </w:p>
    <w:p w:rsidR="00A74DC7" w:rsidRDefault="00A74DC7" w:rsidP="00A74DC7">
      <w:pPr>
        <w:spacing w:line="480" w:lineRule="auto"/>
      </w:pPr>
      <w:r>
        <w:t>Ha: In the Japan, the coefficient of variation of consumer price index (CPI) will be significantly higher than the coefficient of variation of adjusted consumer price index (ACPI).</w:t>
      </w:r>
    </w:p>
    <w:p w:rsidR="003477BC" w:rsidRDefault="003477BC" w:rsidP="00281CC9">
      <w:pPr>
        <w:spacing w:line="480" w:lineRule="auto"/>
        <w:rPr>
          <w:b/>
          <w:bCs/>
        </w:rPr>
      </w:pPr>
    </w:p>
    <w:p w:rsidR="003477BC" w:rsidRDefault="003477BC" w:rsidP="00281CC9">
      <w:pPr>
        <w:spacing w:line="480" w:lineRule="auto"/>
        <w:rPr>
          <w:b/>
          <w:bCs/>
        </w:rPr>
      </w:pPr>
    </w:p>
    <w:p w:rsidR="003477BC" w:rsidRDefault="003477BC" w:rsidP="00281CC9">
      <w:pPr>
        <w:spacing w:line="480" w:lineRule="auto"/>
        <w:rPr>
          <w:b/>
          <w:bCs/>
        </w:rPr>
      </w:pPr>
    </w:p>
    <w:p w:rsidR="003477BC" w:rsidRDefault="003477BC" w:rsidP="00281CC9">
      <w:pPr>
        <w:spacing w:line="480" w:lineRule="auto"/>
        <w:rPr>
          <w:b/>
          <w:bCs/>
        </w:rPr>
      </w:pPr>
    </w:p>
    <w:p w:rsidR="00281CC9" w:rsidRDefault="00281CC9" w:rsidP="00281CC9">
      <w:pPr>
        <w:spacing w:line="480" w:lineRule="auto"/>
        <w:rPr>
          <w:b/>
          <w:bCs/>
        </w:rPr>
      </w:pPr>
      <w:r>
        <w:rPr>
          <w:b/>
          <w:bCs/>
        </w:rPr>
        <w:lastRenderedPageBreak/>
        <w:t>The eighth hypothesis:</w:t>
      </w:r>
    </w:p>
    <w:p w:rsidR="008C2A71" w:rsidRDefault="008C2A71" w:rsidP="008C2A71">
      <w:pPr>
        <w:spacing w:line="480" w:lineRule="auto"/>
      </w:pPr>
      <w:r w:rsidRPr="005A6614">
        <w:t>Ho:</w:t>
      </w:r>
      <w:r>
        <w:t xml:space="preserve"> In the Japan, the mean of inflation rate (IR) will not significantly different or significantly lower than the mean of adjusted inflation rate (AIR). </w:t>
      </w:r>
    </w:p>
    <w:p w:rsidR="008C2A71" w:rsidRDefault="008C2A71" w:rsidP="008C2A71">
      <w:pPr>
        <w:spacing w:line="480" w:lineRule="auto"/>
      </w:pPr>
      <w:r>
        <w:t>Ha: In the Japan, the mean of inflation rate (IR) will be significantly higher than the mean of adjusted inflation rate (AIR).</w:t>
      </w:r>
    </w:p>
    <w:p w:rsidR="00281CC9" w:rsidRDefault="00281CC9" w:rsidP="00281CC9">
      <w:pPr>
        <w:spacing w:line="480" w:lineRule="auto"/>
        <w:rPr>
          <w:b/>
          <w:bCs/>
        </w:rPr>
      </w:pPr>
      <w:r>
        <w:rPr>
          <w:b/>
          <w:bCs/>
        </w:rPr>
        <w:t>The ninth hypothesis:</w:t>
      </w:r>
    </w:p>
    <w:p w:rsidR="00F27CDD" w:rsidRDefault="00F27CDD" w:rsidP="00F27CDD">
      <w:pPr>
        <w:spacing w:line="480" w:lineRule="auto"/>
      </w:pPr>
      <w:r w:rsidRPr="005A6614">
        <w:t>Ho:</w:t>
      </w:r>
      <w:r>
        <w:t xml:space="preserve"> In the Japan, the coefficient of variation of inflation rate (IR) will not significantly different or significantly higher than the coefficient of variation of adjusted inflation rate (AIR). </w:t>
      </w:r>
    </w:p>
    <w:p w:rsidR="00F27CDD" w:rsidRDefault="00F27CDD" w:rsidP="00F27CDD">
      <w:pPr>
        <w:spacing w:line="480" w:lineRule="auto"/>
      </w:pPr>
      <w:r>
        <w:t>Ha: In the Japan, the coefficient of variation of inflation rate (IR) will be significantly lower than the coefficient of variation of adjusted inflation rate (AIR).</w:t>
      </w:r>
    </w:p>
    <w:p w:rsidR="00281CC9" w:rsidRDefault="00281CC9" w:rsidP="00281CC9">
      <w:pPr>
        <w:spacing w:line="480" w:lineRule="auto"/>
        <w:rPr>
          <w:b/>
          <w:bCs/>
        </w:rPr>
      </w:pPr>
      <w:r>
        <w:rPr>
          <w:b/>
          <w:bCs/>
        </w:rPr>
        <w:t>The tenth hypothesis:</w:t>
      </w:r>
    </w:p>
    <w:p w:rsidR="00E25FC8" w:rsidRDefault="00E25FC8" w:rsidP="00E25FC8">
      <w:pPr>
        <w:spacing w:line="480" w:lineRule="auto"/>
      </w:pPr>
      <w:r w:rsidRPr="005A6614">
        <w:t>Ho:</w:t>
      </w:r>
      <w:r>
        <w:t xml:space="preserve"> In the Australia, the coefficient of variation of consumer price index (CPI) will not significantly different or significantly lower than the coefficient of variation of adjusted consumer price index (ACPI). </w:t>
      </w:r>
    </w:p>
    <w:p w:rsidR="00D15DAF" w:rsidRPr="00F27CDD" w:rsidRDefault="00E25FC8" w:rsidP="00F27CDD">
      <w:pPr>
        <w:spacing w:line="480" w:lineRule="auto"/>
      </w:pPr>
      <w:r>
        <w:t>Ha: In the Australia, the coefficient of variation of consumer price index (CPI) will be significantly higher than the coefficient of variation of adjusted consumer price index (ACPI).</w:t>
      </w:r>
    </w:p>
    <w:p w:rsidR="00281CC9" w:rsidRDefault="00281CC9" w:rsidP="00281CC9">
      <w:pPr>
        <w:spacing w:line="480" w:lineRule="auto"/>
        <w:rPr>
          <w:b/>
          <w:bCs/>
        </w:rPr>
      </w:pPr>
      <w:r>
        <w:rPr>
          <w:b/>
          <w:bCs/>
        </w:rPr>
        <w:t>The eleventh hypothesis:</w:t>
      </w:r>
    </w:p>
    <w:p w:rsidR="00F27CDD" w:rsidRDefault="00F27CDD" w:rsidP="00F27CDD">
      <w:pPr>
        <w:spacing w:line="480" w:lineRule="auto"/>
      </w:pPr>
      <w:r w:rsidRPr="005A6614">
        <w:t>Ho:</w:t>
      </w:r>
      <w:r>
        <w:t xml:space="preserve"> In the Australia, the mean of inflation rate (IR) will not significantly different or significantly lower than the mean of adjusted inflation rate (AIR). </w:t>
      </w:r>
    </w:p>
    <w:p w:rsidR="00F27CDD" w:rsidRDefault="00F27CDD" w:rsidP="00F27CDD">
      <w:pPr>
        <w:spacing w:line="480" w:lineRule="auto"/>
      </w:pPr>
      <w:r>
        <w:t>Ha: In the Australia, the mean of inflation rate (IR) will be significantly higher than the mean of adjusted inflation rate (AIR).</w:t>
      </w:r>
    </w:p>
    <w:p w:rsidR="003477BC" w:rsidRDefault="003477BC" w:rsidP="00281CC9">
      <w:pPr>
        <w:spacing w:line="480" w:lineRule="auto"/>
        <w:rPr>
          <w:b/>
          <w:bCs/>
        </w:rPr>
      </w:pPr>
    </w:p>
    <w:p w:rsidR="003477BC" w:rsidRDefault="003477BC" w:rsidP="00281CC9">
      <w:pPr>
        <w:spacing w:line="480" w:lineRule="auto"/>
        <w:rPr>
          <w:b/>
          <w:bCs/>
        </w:rPr>
      </w:pPr>
    </w:p>
    <w:p w:rsidR="00281CC9" w:rsidRDefault="00281CC9" w:rsidP="00281CC9">
      <w:pPr>
        <w:spacing w:line="480" w:lineRule="auto"/>
        <w:rPr>
          <w:b/>
          <w:bCs/>
        </w:rPr>
      </w:pPr>
      <w:r>
        <w:rPr>
          <w:b/>
          <w:bCs/>
        </w:rPr>
        <w:lastRenderedPageBreak/>
        <w:t>The twelfth hypothesis:</w:t>
      </w:r>
    </w:p>
    <w:p w:rsidR="00F27CDD" w:rsidRDefault="00F27CDD" w:rsidP="00F27CDD">
      <w:pPr>
        <w:spacing w:line="480" w:lineRule="auto"/>
      </w:pPr>
      <w:r w:rsidRPr="005A6614">
        <w:t>Ho:</w:t>
      </w:r>
      <w:r>
        <w:t xml:space="preserve"> In the Australia, the coefficient of variation of inflation rate (IR) will not significantly different or significantly higher than the coefficient of variation of adjusted inflation rate (AIR). </w:t>
      </w:r>
    </w:p>
    <w:p w:rsidR="00F27CDD" w:rsidRDefault="00F27CDD" w:rsidP="00F27CDD">
      <w:pPr>
        <w:spacing w:line="480" w:lineRule="auto"/>
      </w:pPr>
      <w:r>
        <w:t>Ha: In the Australia, the coefficient of variation of inflation rate (IR) will be significantly lower than the coefficient of variation of adjusted inflation rate (AIR).</w:t>
      </w:r>
    </w:p>
    <w:p w:rsidR="00D63A57" w:rsidRDefault="00D63A57" w:rsidP="00281CC9">
      <w:pPr>
        <w:spacing w:line="480" w:lineRule="auto"/>
        <w:rPr>
          <w:b/>
          <w:bCs/>
        </w:rPr>
      </w:pPr>
    </w:p>
    <w:p w:rsidR="00281CC9" w:rsidRPr="00281CC9" w:rsidRDefault="00281CC9" w:rsidP="00281CC9">
      <w:pPr>
        <w:spacing w:line="480" w:lineRule="auto"/>
        <w:rPr>
          <w:b/>
          <w:bCs/>
        </w:rPr>
      </w:pPr>
      <w:r>
        <w:rPr>
          <w:b/>
          <w:bCs/>
        </w:rPr>
        <w:t xml:space="preserve"> </w:t>
      </w:r>
    </w:p>
    <w:p w:rsidR="00CF75DD" w:rsidRDefault="00CF75DD" w:rsidP="00430CC7">
      <w:pPr>
        <w:spacing w:line="480" w:lineRule="auto"/>
        <w:rPr>
          <w:b/>
          <w:bCs/>
        </w:rPr>
      </w:pPr>
    </w:p>
    <w:p w:rsidR="00D15DAF" w:rsidRDefault="00D15DAF" w:rsidP="00430CC7">
      <w:pPr>
        <w:spacing w:line="480" w:lineRule="auto"/>
        <w:rPr>
          <w:b/>
          <w:bCs/>
        </w:rPr>
      </w:pPr>
    </w:p>
    <w:p w:rsidR="00D15DAF" w:rsidRDefault="00D15DAF" w:rsidP="00430CC7">
      <w:pPr>
        <w:spacing w:line="480" w:lineRule="auto"/>
        <w:rPr>
          <w:b/>
          <w:bCs/>
        </w:rPr>
      </w:pPr>
    </w:p>
    <w:p w:rsidR="00D15DAF" w:rsidRDefault="00D15DAF" w:rsidP="00430CC7">
      <w:pPr>
        <w:spacing w:line="480" w:lineRule="auto"/>
        <w:rPr>
          <w:b/>
          <w:bCs/>
        </w:rPr>
      </w:pPr>
    </w:p>
    <w:p w:rsidR="00D15DAF" w:rsidRDefault="00D15DAF" w:rsidP="00430CC7">
      <w:pPr>
        <w:spacing w:line="480" w:lineRule="auto"/>
        <w:rPr>
          <w:b/>
          <w:bCs/>
        </w:rPr>
      </w:pPr>
    </w:p>
    <w:p w:rsidR="00D15DAF" w:rsidRDefault="00D15DAF" w:rsidP="00430CC7">
      <w:pPr>
        <w:spacing w:line="480" w:lineRule="auto"/>
        <w:rPr>
          <w:b/>
          <w:bCs/>
        </w:rPr>
      </w:pPr>
    </w:p>
    <w:p w:rsidR="00D15DAF" w:rsidRDefault="00D15DAF" w:rsidP="00430CC7">
      <w:pPr>
        <w:spacing w:line="480" w:lineRule="auto"/>
        <w:rPr>
          <w:b/>
          <w:bCs/>
        </w:rPr>
      </w:pPr>
    </w:p>
    <w:p w:rsidR="00D15DAF" w:rsidRDefault="00D15DAF" w:rsidP="00430CC7">
      <w:pPr>
        <w:spacing w:line="480" w:lineRule="auto"/>
        <w:rPr>
          <w:b/>
          <w:bCs/>
        </w:rPr>
      </w:pPr>
    </w:p>
    <w:p w:rsidR="00D15DAF" w:rsidRPr="00986931" w:rsidRDefault="00D15DAF" w:rsidP="00430CC7">
      <w:pPr>
        <w:spacing w:line="480" w:lineRule="auto"/>
        <w:rPr>
          <w:b/>
          <w:bCs/>
        </w:rPr>
      </w:pPr>
    </w:p>
    <w:p w:rsidR="00D15DAF" w:rsidRDefault="00D15DAF" w:rsidP="0036464E">
      <w:pPr>
        <w:spacing w:line="480" w:lineRule="auto"/>
        <w:rPr>
          <w:b/>
          <w:bCs/>
        </w:rPr>
      </w:pPr>
    </w:p>
    <w:p w:rsidR="00D15DAF" w:rsidRDefault="00D15DAF" w:rsidP="0036464E">
      <w:pPr>
        <w:spacing w:line="480" w:lineRule="auto"/>
        <w:rPr>
          <w:b/>
          <w:bCs/>
        </w:rPr>
      </w:pPr>
    </w:p>
    <w:p w:rsidR="00D15DAF" w:rsidRDefault="00D15DAF" w:rsidP="0036464E">
      <w:pPr>
        <w:spacing w:line="480" w:lineRule="auto"/>
        <w:rPr>
          <w:b/>
          <w:bCs/>
        </w:rPr>
      </w:pPr>
    </w:p>
    <w:p w:rsidR="00D15DAF" w:rsidRDefault="00D15DAF" w:rsidP="0036464E">
      <w:pPr>
        <w:spacing w:line="480" w:lineRule="auto"/>
        <w:rPr>
          <w:b/>
          <w:bCs/>
        </w:rPr>
      </w:pPr>
    </w:p>
    <w:p w:rsidR="00D15DAF" w:rsidRDefault="00D15DAF" w:rsidP="0036464E">
      <w:pPr>
        <w:spacing w:line="480" w:lineRule="auto"/>
        <w:rPr>
          <w:b/>
          <w:bCs/>
        </w:rPr>
      </w:pPr>
    </w:p>
    <w:p w:rsidR="00BF6CA0" w:rsidRDefault="00BF6CA0" w:rsidP="00BB5B7A">
      <w:pPr>
        <w:spacing w:line="480" w:lineRule="auto"/>
        <w:jc w:val="center"/>
        <w:rPr>
          <w:b/>
          <w:bCs/>
        </w:rPr>
      </w:pPr>
    </w:p>
    <w:p w:rsidR="00BF6CA0" w:rsidRDefault="00BF6CA0" w:rsidP="00BB5B7A">
      <w:pPr>
        <w:spacing w:line="480" w:lineRule="auto"/>
        <w:jc w:val="center"/>
        <w:rPr>
          <w:b/>
          <w:bCs/>
        </w:rPr>
      </w:pPr>
    </w:p>
    <w:p w:rsidR="00BF6CA0" w:rsidRDefault="00BF6CA0" w:rsidP="00BB5B7A">
      <w:pPr>
        <w:spacing w:line="480" w:lineRule="auto"/>
        <w:jc w:val="center"/>
        <w:rPr>
          <w:b/>
          <w:bCs/>
        </w:rPr>
      </w:pPr>
    </w:p>
    <w:p w:rsidR="001E29D6" w:rsidRDefault="00983987" w:rsidP="00BB5B7A">
      <w:pPr>
        <w:spacing w:line="480" w:lineRule="auto"/>
        <w:jc w:val="center"/>
        <w:rPr>
          <w:b/>
          <w:bCs/>
        </w:rPr>
      </w:pPr>
      <w:r>
        <w:rPr>
          <w:b/>
          <w:bCs/>
        </w:rPr>
        <w:lastRenderedPageBreak/>
        <w:t>Theoretical F</w:t>
      </w:r>
      <w:r w:rsidR="00AA2307">
        <w:rPr>
          <w:b/>
          <w:bCs/>
        </w:rPr>
        <w:t>ramework</w:t>
      </w:r>
    </w:p>
    <w:p w:rsidR="001E29D6" w:rsidRDefault="00071B3D" w:rsidP="001E29D6">
      <w:pPr>
        <w:spacing w:line="480" w:lineRule="auto"/>
      </w:pPr>
      <w:r>
        <w:t xml:space="preserve">         </w:t>
      </w:r>
      <w:r w:rsidR="00015BFC">
        <w:t xml:space="preserve">The research will discuss in details all variables related to this </w:t>
      </w:r>
      <w:r w:rsidR="001E29D6">
        <w:t>study, the importance of them, and why we use them instead of other variable, in order to make</w:t>
      </w:r>
      <w:r w:rsidR="00015BFC">
        <w:t xml:space="preserve"> the reade</w:t>
      </w:r>
      <w:r w:rsidR="001E29D6">
        <w:t>r able to understand the whole research.</w:t>
      </w:r>
    </w:p>
    <w:p w:rsidR="001E29D6" w:rsidRPr="00015BFC" w:rsidRDefault="001E29D6" w:rsidP="001E29D6">
      <w:pPr>
        <w:spacing w:line="480" w:lineRule="auto"/>
      </w:pPr>
    </w:p>
    <w:p w:rsidR="00AA2307" w:rsidRDefault="00AA2307" w:rsidP="006F35B7">
      <w:pPr>
        <w:spacing w:line="480" w:lineRule="auto"/>
        <w:rPr>
          <w:b/>
          <w:bCs/>
        </w:rPr>
      </w:pPr>
      <w:r>
        <w:rPr>
          <w:b/>
          <w:bCs/>
        </w:rPr>
        <w:t>The</w:t>
      </w:r>
      <w:r w:rsidR="00071B3D">
        <w:rPr>
          <w:b/>
          <w:bCs/>
        </w:rPr>
        <w:t xml:space="preserve"> consumer price index</w:t>
      </w:r>
      <w:r>
        <w:rPr>
          <w:b/>
          <w:bCs/>
        </w:rPr>
        <w:t xml:space="preserve"> </w:t>
      </w:r>
      <w:r w:rsidR="00071B3D">
        <w:rPr>
          <w:b/>
          <w:bCs/>
        </w:rPr>
        <w:t>(</w:t>
      </w:r>
      <w:r>
        <w:rPr>
          <w:b/>
          <w:bCs/>
        </w:rPr>
        <w:t>CPI</w:t>
      </w:r>
      <w:r w:rsidR="00071B3D">
        <w:rPr>
          <w:b/>
          <w:bCs/>
        </w:rPr>
        <w:t>)</w:t>
      </w:r>
      <w:r>
        <w:rPr>
          <w:b/>
          <w:bCs/>
        </w:rPr>
        <w:t>:</w:t>
      </w:r>
      <w:r w:rsidR="00674ECD">
        <w:rPr>
          <w:b/>
          <w:bCs/>
        </w:rPr>
        <w:t xml:space="preserve"> </w:t>
      </w:r>
    </w:p>
    <w:p w:rsidR="00674ECD" w:rsidRPr="00674ECD" w:rsidRDefault="00674ECD" w:rsidP="00674ECD">
      <w:pPr>
        <w:spacing w:line="480" w:lineRule="auto"/>
        <w:rPr>
          <w:b/>
          <w:bCs/>
        </w:rPr>
      </w:pPr>
      <w:r>
        <w:t xml:space="preserve">A </w:t>
      </w:r>
      <w:r w:rsidRPr="000C075A">
        <w:t xml:space="preserve">consumer price index </w:t>
      </w:r>
      <w:r>
        <w:t xml:space="preserve">(CPI) is a measure estimating the average price of </w:t>
      </w:r>
      <w:hyperlink r:id="rId9" w:tooltip="Final goods" w:history="1">
        <w:r w:rsidRPr="00674ECD">
          <w:rPr>
            <w:rStyle w:val="Hyperlink"/>
            <w:color w:val="auto"/>
            <w:u w:val="none"/>
          </w:rPr>
          <w:t>consumer goods</w:t>
        </w:r>
      </w:hyperlink>
      <w:r w:rsidRPr="00674ECD">
        <w:t xml:space="preserve"> and </w:t>
      </w:r>
      <w:hyperlink r:id="rId10" w:tooltip="Consumer Services" w:history="1">
        <w:r w:rsidRPr="00674ECD">
          <w:rPr>
            <w:rStyle w:val="Hyperlink"/>
            <w:color w:val="auto"/>
            <w:u w:val="none"/>
          </w:rPr>
          <w:t>services</w:t>
        </w:r>
      </w:hyperlink>
      <w:r w:rsidRPr="00674ECD">
        <w:t xml:space="preserve"> purchased by households. A consumer price index measures a price change for a constant </w:t>
      </w:r>
      <w:hyperlink r:id="rId11" w:tooltip="Market basket" w:history="1">
        <w:r w:rsidRPr="00674ECD">
          <w:rPr>
            <w:rStyle w:val="Hyperlink"/>
            <w:color w:val="auto"/>
            <w:u w:val="none"/>
          </w:rPr>
          <w:t>market basket</w:t>
        </w:r>
      </w:hyperlink>
      <w:r w:rsidRPr="00674ECD">
        <w:t xml:space="preserve"> of goods and services from one period to the next within the same area (city, region, or nation)</w:t>
      </w:r>
      <w:r w:rsidRPr="00674ECD">
        <w:rPr>
          <w:b/>
          <w:bCs/>
        </w:rPr>
        <w:t>.</w:t>
      </w:r>
    </w:p>
    <w:p w:rsidR="00674ECD" w:rsidRDefault="00D375C9" w:rsidP="00674ECD">
      <w:pPr>
        <w:pStyle w:val="NormalWeb"/>
        <w:spacing w:line="480" w:lineRule="auto"/>
      </w:pPr>
      <w:r>
        <w:t>"</w:t>
      </w:r>
      <w:r w:rsidR="00674ECD" w:rsidRPr="00674ECD">
        <w:t xml:space="preserve">Two basic types of data are needed to construct the CPI: price data and weighting data. The price data are collected for a sample of goods and services from a sample of sales outlets in a sample of locations for a sample of times. The weighting data are estimates of the shares of the different types of expenditure as fractions of the total expenditure covered by the index. These weights are usually based upon expenditure data obtained for sampled decades from a sample of households. Although some of the sampling is done using a sampling frame and </w:t>
      </w:r>
      <w:hyperlink r:id="rId12" w:tooltip="Sampling (statistics)" w:history="1">
        <w:r w:rsidR="00674ECD" w:rsidRPr="00674ECD">
          <w:rPr>
            <w:rStyle w:val="Hyperlink"/>
            <w:color w:val="auto"/>
            <w:u w:val="none"/>
          </w:rPr>
          <w:t>probabilistic sampling</w:t>
        </w:r>
      </w:hyperlink>
      <w:r w:rsidR="00674ECD" w:rsidRPr="00674ECD">
        <w:t xml:space="preserve"> methods, much is done in a commonsense way (purposive sampling) that does not permit estimation of confidence intervals. Therefore, the sampling variance is normally ignored, since a single estimate is required in most of the purposes for which the index is used. Stocks greatly affect this cause</w:t>
      </w:r>
      <w:r>
        <w:t>"</w:t>
      </w:r>
      <w:r w:rsidR="0095639D">
        <w:rPr>
          <w:vertAlign w:val="superscript"/>
        </w:rPr>
        <w:t>3</w:t>
      </w:r>
      <w:r w:rsidR="00674ECD" w:rsidRPr="00674ECD">
        <w:t>.</w:t>
      </w:r>
    </w:p>
    <w:p w:rsidR="00071B3D" w:rsidRDefault="00E638C0" w:rsidP="00674ECD">
      <w:pPr>
        <w:pStyle w:val="NormalWeb"/>
        <w:spacing w:line="480" w:lineRule="auto"/>
        <w:rPr>
          <w:sz w:val="20"/>
          <w:szCs w:val="20"/>
        </w:rPr>
      </w:pPr>
      <w:r>
        <w:rPr>
          <w:noProof/>
          <w:sz w:val="20"/>
          <w:szCs w:val="20"/>
        </w:rPr>
        <w:pict>
          <v:shape id="_x0000_s1028" type="#_x0000_t32" style="position:absolute;margin-left:-4.15pt;margin-top:31.4pt;width:134.45pt;height:0;z-index:251661312" o:connectortype="straight">
            <w10:wrap anchorx="page"/>
          </v:shape>
        </w:pict>
      </w:r>
    </w:p>
    <w:p w:rsidR="00071B3D" w:rsidRPr="00071B3D" w:rsidRDefault="00071B3D" w:rsidP="00674ECD">
      <w:pPr>
        <w:pStyle w:val="NormalWeb"/>
        <w:spacing w:line="480" w:lineRule="auto"/>
        <w:rPr>
          <w:sz w:val="20"/>
          <w:szCs w:val="20"/>
        </w:rPr>
      </w:pPr>
      <w:r>
        <w:rPr>
          <w:sz w:val="20"/>
          <w:szCs w:val="20"/>
          <w:vertAlign w:val="superscript"/>
        </w:rPr>
        <w:t xml:space="preserve">3 </w:t>
      </w:r>
      <w:r w:rsidRPr="00071B3D">
        <w:rPr>
          <w:sz w:val="20"/>
          <w:szCs w:val="20"/>
        </w:rPr>
        <w:t>http://en.wikipedia.org/wiki/Consumer_price_index</w:t>
      </w:r>
      <w:r>
        <w:rPr>
          <w:sz w:val="20"/>
          <w:szCs w:val="20"/>
        </w:rPr>
        <w:t>.</w:t>
      </w:r>
    </w:p>
    <w:p w:rsidR="00674ECD" w:rsidRPr="00674ECD" w:rsidRDefault="00674ECD" w:rsidP="00674ECD">
      <w:pPr>
        <w:pStyle w:val="NormalWeb"/>
        <w:spacing w:line="480" w:lineRule="auto"/>
      </w:pPr>
      <w:r w:rsidRPr="00674ECD">
        <w:lastRenderedPageBreak/>
        <w:t xml:space="preserve">The index is usually computed yearly, or quarterly in some countries, as a weighted average of sub-indices for different components of consumer expenditure, such as food, housing, clothing, each of which is in turn a weighted average of sub-sub-indices. At the most detailed level, the elementary aggregate level, (for example, men's shirts sold in department stores in San Francisco), detailed weighting information is unavailable, so indices are computed using an unweighted </w:t>
      </w:r>
      <w:hyperlink r:id="rId13" w:tooltip="Arithmetic mean" w:history="1">
        <w:r w:rsidRPr="00674ECD">
          <w:rPr>
            <w:rStyle w:val="Hyperlink"/>
            <w:color w:val="auto"/>
            <w:u w:val="none"/>
          </w:rPr>
          <w:t>arithmetic</w:t>
        </w:r>
      </w:hyperlink>
      <w:r w:rsidRPr="00674ECD">
        <w:t xml:space="preserve"> or </w:t>
      </w:r>
      <w:hyperlink r:id="rId14" w:tooltip="Geometric mean" w:history="1">
        <w:r w:rsidRPr="00674ECD">
          <w:rPr>
            <w:rStyle w:val="Hyperlink"/>
            <w:color w:val="auto"/>
            <w:u w:val="none"/>
          </w:rPr>
          <w:t>geometric mean</w:t>
        </w:r>
      </w:hyperlink>
      <w:r w:rsidRPr="00674ECD">
        <w:t xml:space="preserve"> of the prices of the sampled product offers. (However, the growing use of </w:t>
      </w:r>
      <w:hyperlink r:id="rId15" w:tooltip="Barcode reader" w:history="1">
        <w:r w:rsidRPr="00674ECD">
          <w:rPr>
            <w:rStyle w:val="Hyperlink"/>
            <w:color w:val="auto"/>
            <w:u w:val="none"/>
          </w:rPr>
          <w:t>scanner</w:t>
        </w:r>
      </w:hyperlink>
      <w:r w:rsidRPr="00674ECD">
        <w:t xml:space="preserve"> data is gradually making weighting information available even at the most detailed level.) These indices compare prices each month with prices in the price-reference month. The weights used to combine them into the higher-level aggregates, and then into the overall index, relate to the estimated expenditures during a preceding whole year of the consumers covered by the index on the products within its scope in the area covered. Thus the index is a fixed-weight index, but rarely a true </w:t>
      </w:r>
      <w:hyperlink r:id="rId16" w:tooltip="Laspeyres index" w:history="1">
        <w:r w:rsidRPr="00674ECD">
          <w:rPr>
            <w:rStyle w:val="Hyperlink"/>
            <w:color w:val="auto"/>
            <w:u w:val="none"/>
          </w:rPr>
          <w:t>Laspeyres index</w:t>
        </w:r>
      </w:hyperlink>
      <w:r w:rsidRPr="00674ECD">
        <w:t>, since the weight-reference period of a year and the price-reference period, usually a more recent single month, do not coincide. It takes time to assemble and process the information used for weighting which, in addition to household expenditure surveys, may include trade and tax data.</w:t>
      </w:r>
    </w:p>
    <w:p w:rsidR="00674ECD" w:rsidRPr="00674ECD" w:rsidRDefault="00674ECD" w:rsidP="00674ECD">
      <w:pPr>
        <w:pStyle w:val="NormalWeb"/>
        <w:spacing w:line="480" w:lineRule="auto"/>
      </w:pPr>
      <w:r w:rsidRPr="00674ECD">
        <w:t xml:space="preserve">Ideally, the weights would relate to the composition of expenditure during the time between the price-reference month and the current month. There is a large technical economics literature on </w:t>
      </w:r>
      <w:hyperlink r:id="rId17" w:tooltip="List of price index formulas" w:history="1">
        <w:r w:rsidRPr="00674ECD">
          <w:rPr>
            <w:rStyle w:val="Hyperlink"/>
            <w:color w:val="auto"/>
            <w:u w:val="none"/>
          </w:rPr>
          <w:t>index formulae</w:t>
        </w:r>
      </w:hyperlink>
      <w:r w:rsidRPr="00674ECD">
        <w:t xml:space="preserve"> which would approximate this and which can be shown to approximate what economic theorists call a true </w:t>
      </w:r>
      <w:hyperlink r:id="rId18" w:tooltip="Cost of living index" w:history="1">
        <w:r w:rsidRPr="00674ECD">
          <w:rPr>
            <w:rStyle w:val="Hyperlink"/>
            <w:color w:val="auto"/>
            <w:u w:val="none"/>
          </w:rPr>
          <w:t>cost of living index</w:t>
        </w:r>
      </w:hyperlink>
      <w:r w:rsidRPr="00674ECD">
        <w:t xml:space="preserve">. Such an index would show how consumer expenditure would have to move to compensate for price changes so as to allow consumers to maintain a constant standard of living. Approximations can only be computed retrospectively, whereas the </w:t>
      </w:r>
      <w:r w:rsidRPr="00674ECD">
        <w:lastRenderedPageBreak/>
        <w:t>index has to appear monthly and, preferably, quite soon. Nevertheless, in some countries, notably in the United States and Sweden, the philosophy of the index is that it is inspired by and approximates the notion of a true cost of living (constant utility) index, whereas in most of Europe it is regarded more pragmatically.</w:t>
      </w:r>
    </w:p>
    <w:p w:rsidR="00674ECD" w:rsidRPr="00674ECD" w:rsidRDefault="00674ECD" w:rsidP="00674ECD">
      <w:pPr>
        <w:pStyle w:val="NormalWeb"/>
        <w:spacing w:line="480" w:lineRule="auto"/>
      </w:pPr>
      <w:r w:rsidRPr="00674ECD">
        <w:t>The coverage of the index may be limited. Consumers' expenditure abroad is usually excluded; visitors' expenditure within the country may be excluded in principle if not in practice; the rural population may or may not be included; certain groups such as the very rich or the very poor may be excluded. Saving and investment are always excluded, though the prices paid for financial services provided by financial intermediaries may be included along with insurance.</w:t>
      </w:r>
    </w:p>
    <w:p w:rsidR="00674ECD" w:rsidRDefault="00674ECD" w:rsidP="00674ECD">
      <w:pPr>
        <w:pStyle w:val="NormalWeb"/>
        <w:spacing w:line="480" w:lineRule="auto"/>
      </w:pPr>
      <w:r w:rsidRPr="00674ECD">
        <w:t>The index reference period, usually called the base year, often differs both from the weight-reference period and the price reference period. This is just a matter of rescaling the whole time-series to make the value for the index reference-period equal to 100. Annually revised weights are a desirable but expensive feature of an index, for the older the weights the greater is the divergence between the current expenditure pattern and that of the weight reference-period.</w:t>
      </w:r>
    </w:p>
    <w:p w:rsidR="00674ECD" w:rsidRDefault="00674ECD" w:rsidP="00B35B36">
      <w:pPr>
        <w:pStyle w:val="NormalWeb"/>
        <w:spacing w:line="480" w:lineRule="auto"/>
      </w:pPr>
      <w:r>
        <w:t>T</w:t>
      </w:r>
      <w:r w:rsidR="00B35B36">
        <w:t>he</w:t>
      </w:r>
      <w:r w:rsidR="00015BFC">
        <w:t xml:space="preserve"> </w:t>
      </w:r>
      <w:r>
        <w:t>CPI</w:t>
      </w:r>
      <w:r w:rsidR="00015BFC">
        <w:t xml:space="preserve"> is often computed by this equation: </w:t>
      </w:r>
      <w:r>
        <w:br/>
      </w:r>
      <w:r>
        <w:rPr>
          <w:b/>
          <w:bCs/>
        </w:rPr>
        <w:t>CPI= (Product X Price</w:t>
      </w:r>
      <w:r>
        <w:rPr>
          <w:b/>
          <w:bCs/>
          <w:vertAlign w:val="subscript"/>
        </w:rPr>
        <w:t>current</w:t>
      </w:r>
      <w:r>
        <w:rPr>
          <w:b/>
          <w:bCs/>
        </w:rPr>
        <w:t>)/(Product X Price1</w:t>
      </w:r>
      <w:r>
        <w:rPr>
          <w:b/>
          <w:bCs/>
          <w:vertAlign w:val="subscript"/>
        </w:rPr>
        <w:t>base</w:t>
      </w:r>
      <w:r>
        <w:rPr>
          <w:b/>
          <w:bCs/>
        </w:rPr>
        <w:t>)</w:t>
      </w:r>
    </w:p>
    <w:p w:rsidR="0095639D" w:rsidRPr="0095639D" w:rsidRDefault="006F35B7" w:rsidP="0095639D">
      <w:pPr>
        <w:pStyle w:val="NormalWeb"/>
      </w:pPr>
      <w:r w:rsidRPr="006F35B7">
        <w:t>Source: http://en.wikipedia.org/wiki/Consumer_price_index</w:t>
      </w:r>
    </w:p>
    <w:p w:rsidR="0095639D" w:rsidRDefault="0095639D" w:rsidP="00B35B36">
      <w:pPr>
        <w:pStyle w:val="NormalWeb"/>
        <w:spacing w:line="480" w:lineRule="auto"/>
        <w:rPr>
          <w:b/>
          <w:bCs/>
        </w:rPr>
      </w:pPr>
    </w:p>
    <w:p w:rsidR="0095639D" w:rsidRDefault="0095639D" w:rsidP="00B35B36">
      <w:pPr>
        <w:pStyle w:val="NormalWeb"/>
        <w:spacing w:line="480" w:lineRule="auto"/>
        <w:rPr>
          <w:b/>
          <w:bCs/>
        </w:rPr>
      </w:pPr>
    </w:p>
    <w:p w:rsidR="0095639D" w:rsidRDefault="0095639D" w:rsidP="00B35B36">
      <w:pPr>
        <w:pStyle w:val="NormalWeb"/>
        <w:spacing w:line="480" w:lineRule="auto"/>
        <w:rPr>
          <w:b/>
          <w:bCs/>
        </w:rPr>
      </w:pPr>
    </w:p>
    <w:p w:rsidR="004A677B" w:rsidRPr="00B7755A" w:rsidRDefault="004A677B" w:rsidP="00B35B36">
      <w:pPr>
        <w:pStyle w:val="NormalWeb"/>
        <w:spacing w:line="480" w:lineRule="auto"/>
        <w:rPr>
          <w:b/>
          <w:bCs/>
        </w:rPr>
      </w:pPr>
      <w:r w:rsidRPr="00B7755A">
        <w:rPr>
          <w:b/>
          <w:bCs/>
        </w:rPr>
        <w:lastRenderedPageBreak/>
        <w:t>The</w:t>
      </w:r>
      <w:r w:rsidR="0095639D">
        <w:rPr>
          <w:b/>
          <w:bCs/>
        </w:rPr>
        <w:t xml:space="preserve"> Adjusted consumer price index</w:t>
      </w:r>
      <w:r w:rsidRPr="00B7755A">
        <w:rPr>
          <w:b/>
          <w:bCs/>
        </w:rPr>
        <w:t xml:space="preserve"> </w:t>
      </w:r>
      <w:r w:rsidR="0095639D">
        <w:rPr>
          <w:b/>
          <w:bCs/>
        </w:rPr>
        <w:t>(</w:t>
      </w:r>
      <w:r w:rsidRPr="00B7755A">
        <w:rPr>
          <w:b/>
          <w:bCs/>
        </w:rPr>
        <w:t>ACPI</w:t>
      </w:r>
      <w:r w:rsidR="0095639D">
        <w:rPr>
          <w:b/>
          <w:bCs/>
        </w:rPr>
        <w:t>)</w:t>
      </w:r>
      <w:r w:rsidRPr="00B7755A">
        <w:rPr>
          <w:b/>
          <w:bCs/>
        </w:rPr>
        <w:t>:</w:t>
      </w:r>
    </w:p>
    <w:p w:rsidR="007419FD" w:rsidRDefault="007419FD" w:rsidP="00B35B36">
      <w:pPr>
        <w:pStyle w:val="NormalWeb"/>
        <w:spacing w:line="480" w:lineRule="auto"/>
      </w:pPr>
      <w:r>
        <w:t>The Adjusted consumer price index, this</w:t>
      </w:r>
      <w:r w:rsidR="004A677B">
        <w:t xml:space="preserve"> indicator has the</w:t>
      </w:r>
      <w:r w:rsidR="00B03B01">
        <w:t xml:space="preserve"> same aspects of cpi indicator, except that it</w:t>
      </w:r>
      <w:r>
        <w:t xml:space="preserve"> reflect</w:t>
      </w:r>
      <w:r w:rsidR="00B03B01">
        <w:t>s</w:t>
      </w:r>
      <w:r>
        <w:t xml:space="preserve"> the good</w:t>
      </w:r>
      <w:r w:rsidR="00B03B01">
        <w:t>s</w:t>
      </w:r>
      <w:r>
        <w:t xml:space="preserve"> and services prices in gold, by multiplying the current and base year in the country currency exchange rate with gold.</w:t>
      </w:r>
    </w:p>
    <w:p w:rsidR="007419FD" w:rsidRDefault="007419FD" w:rsidP="00B35B36">
      <w:pPr>
        <w:pStyle w:val="NormalWeb"/>
        <w:spacing w:line="480" w:lineRule="auto"/>
      </w:pPr>
      <w:r>
        <w:t>This equation is used in this research for computing the ACPI</w:t>
      </w:r>
      <w:r w:rsidR="008857E8">
        <w:t>:</w:t>
      </w:r>
    </w:p>
    <w:p w:rsidR="007419FD" w:rsidRDefault="007419FD" w:rsidP="007419FD">
      <w:pPr>
        <w:pStyle w:val="NormalWeb"/>
      </w:pPr>
      <w:r>
        <w:br/>
      </w:r>
      <w:r w:rsidR="00B35B36">
        <w:rPr>
          <w:b/>
          <w:bCs/>
        </w:rPr>
        <w:t>ACPI= (</w:t>
      </w:r>
      <w:r>
        <w:rPr>
          <w:b/>
          <w:bCs/>
        </w:rPr>
        <w:t xml:space="preserve"> </w:t>
      </w:r>
      <w:r w:rsidR="00B35B36">
        <w:rPr>
          <w:b/>
          <w:bCs/>
        </w:rPr>
        <w:t>CPI</w:t>
      </w:r>
      <w:r>
        <w:rPr>
          <w:b/>
          <w:bCs/>
          <w:vertAlign w:val="subscript"/>
        </w:rPr>
        <w:t>c</w:t>
      </w:r>
      <w:r w:rsidRPr="00B35B36">
        <w:rPr>
          <w:b/>
          <w:bCs/>
          <w:vertAlign w:val="subscript"/>
        </w:rPr>
        <w:t xml:space="preserve">urrent </w:t>
      </w:r>
      <w:r w:rsidR="00B35B36" w:rsidRPr="00B35B36">
        <w:rPr>
          <w:b/>
          <w:bCs/>
        </w:rPr>
        <w:t xml:space="preserve">X exchange rate </w:t>
      </w:r>
      <w:r w:rsidR="00B35B36" w:rsidRPr="00B35B36">
        <w:rPr>
          <w:b/>
          <w:bCs/>
          <w:vertAlign w:val="subscript"/>
        </w:rPr>
        <w:t xml:space="preserve">current  </w:t>
      </w:r>
      <w:r>
        <w:rPr>
          <w:b/>
          <w:bCs/>
        </w:rPr>
        <w:t>)/ (</w:t>
      </w:r>
      <w:r w:rsidR="00B35B36">
        <w:rPr>
          <w:b/>
          <w:bCs/>
        </w:rPr>
        <w:t>CPI</w:t>
      </w:r>
      <w:r>
        <w:rPr>
          <w:b/>
          <w:bCs/>
          <w:vertAlign w:val="subscript"/>
        </w:rPr>
        <w:t>base</w:t>
      </w:r>
      <w:r>
        <w:rPr>
          <w:b/>
          <w:bCs/>
        </w:rPr>
        <w:t>X</w:t>
      </w:r>
      <w:r w:rsidR="00B35B36">
        <w:rPr>
          <w:b/>
          <w:bCs/>
        </w:rPr>
        <w:t xml:space="preserve"> </w:t>
      </w:r>
      <w:r>
        <w:rPr>
          <w:b/>
          <w:bCs/>
        </w:rPr>
        <w:t xml:space="preserve"> exchange rate</w:t>
      </w:r>
      <w:r w:rsidR="00B35B36">
        <w:rPr>
          <w:b/>
          <w:bCs/>
        </w:rPr>
        <w:t xml:space="preserve"> </w:t>
      </w:r>
      <w:r w:rsidR="00B35B36" w:rsidRPr="00B35B36">
        <w:rPr>
          <w:b/>
          <w:bCs/>
          <w:vertAlign w:val="subscript"/>
        </w:rPr>
        <w:t>base</w:t>
      </w:r>
      <w:r>
        <w:rPr>
          <w:b/>
          <w:bCs/>
        </w:rPr>
        <w:t>)</w:t>
      </w:r>
    </w:p>
    <w:p w:rsidR="008857E8" w:rsidRDefault="008857E8" w:rsidP="0036464E">
      <w:pPr>
        <w:spacing w:line="480" w:lineRule="auto"/>
        <w:rPr>
          <w:b/>
          <w:bCs/>
        </w:rPr>
      </w:pPr>
    </w:p>
    <w:p w:rsidR="00674ECD" w:rsidRDefault="00674ECD" w:rsidP="0036464E">
      <w:pPr>
        <w:spacing w:line="480" w:lineRule="auto"/>
        <w:rPr>
          <w:b/>
          <w:bCs/>
        </w:rPr>
      </w:pPr>
      <w:r>
        <w:rPr>
          <w:b/>
          <w:bCs/>
        </w:rPr>
        <w:t>The</w:t>
      </w:r>
      <w:r w:rsidR="0095639D">
        <w:rPr>
          <w:b/>
          <w:bCs/>
        </w:rPr>
        <w:t xml:space="preserve"> inflation rate</w:t>
      </w:r>
      <w:r>
        <w:rPr>
          <w:b/>
          <w:bCs/>
        </w:rPr>
        <w:t xml:space="preserve"> </w:t>
      </w:r>
      <w:r w:rsidR="0095639D">
        <w:rPr>
          <w:b/>
          <w:bCs/>
        </w:rPr>
        <w:t>(</w:t>
      </w:r>
      <w:r w:rsidR="008E43D5">
        <w:rPr>
          <w:b/>
          <w:bCs/>
        </w:rPr>
        <w:t>IR</w:t>
      </w:r>
      <w:r w:rsidR="0095639D">
        <w:rPr>
          <w:b/>
          <w:bCs/>
        </w:rPr>
        <w:t>)</w:t>
      </w:r>
      <w:r>
        <w:rPr>
          <w:b/>
          <w:bCs/>
        </w:rPr>
        <w:t>:</w:t>
      </w:r>
      <w:r w:rsidR="006B5E58">
        <w:rPr>
          <w:b/>
          <w:bCs/>
        </w:rPr>
        <w:t xml:space="preserve"> </w:t>
      </w:r>
    </w:p>
    <w:p w:rsidR="006B5E58" w:rsidRDefault="00D375C9" w:rsidP="008E43D5">
      <w:pPr>
        <w:pStyle w:val="NormalWeb"/>
        <w:spacing w:line="480" w:lineRule="auto"/>
      </w:pPr>
      <w:r>
        <w:t>"</w:t>
      </w:r>
      <w:r w:rsidR="008E43D5">
        <w:t>I</w:t>
      </w:r>
      <w:r w:rsidR="006B5E58" w:rsidRPr="006B5E58">
        <w:t>nflation</w:t>
      </w:r>
      <w:r w:rsidR="008E43D5">
        <w:t xml:space="preserve"> rate is </w:t>
      </w:r>
      <w:r w:rsidR="006B5E58" w:rsidRPr="006B5E58">
        <w:t xml:space="preserve">a rise in the general </w:t>
      </w:r>
      <w:hyperlink r:id="rId19" w:tooltip="Price level" w:history="1">
        <w:r w:rsidR="006B5E58" w:rsidRPr="006B5E58">
          <w:rPr>
            <w:rStyle w:val="Hyperlink"/>
            <w:color w:val="auto"/>
            <w:u w:val="none"/>
          </w:rPr>
          <w:t>level of prices</w:t>
        </w:r>
      </w:hyperlink>
      <w:r w:rsidR="006B5E58" w:rsidRPr="006B5E58">
        <w:t xml:space="preserve"> of goods and services in an </w:t>
      </w:r>
      <w:hyperlink r:id="rId20" w:tooltip="Economy" w:history="1">
        <w:r w:rsidR="006B5E58" w:rsidRPr="006B5E58">
          <w:rPr>
            <w:rStyle w:val="Hyperlink"/>
            <w:color w:val="auto"/>
            <w:u w:val="none"/>
          </w:rPr>
          <w:t>economy</w:t>
        </w:r>
      </w:hyperlink>
      <w:r w:rsidR="006B5E58" w:rsidRPr="006B5E58">
        <w:t xml:space="preserve"> over a period of time. When the price level rises, each unit of currency buys fewer goods and services; consequently, annual inflation is also erosion in the </w:t>
      </w:r>
      <w:hyperlink r:id="rId21" w:tooltip="Purchasing power" w:history="1">
        <w:r w:rsidR="006B5E58" w:rsidRPr="006B5E58">
          <w:rPr>
            <w:rStyle w:val="Hyperlink"/>
            <w:color w:val="auto"/>
            <w:u w:val="none"/>
          </w:rPr>
          <w:t>purchasing power</w:t>
        </w:r>
      </w:hyperlink>
      <w:r w:rsidR="006B5E58" w:rsidRPr="006B5E58">
        <w:t xml:space="preserve"> of money – a loss of real value in the internal medium of exchange and unit of account in the economy</w:t>
      </w:r>
      <w:r>
        <w:t>"</w:t>
      </w:r>
      <w:r w:rsidR="000E07EE">
        <w:rPr>
          <w:vertAlign w:val="superscript"/>
        </w:rPr>
        <w:t>4</w:t>
      </w:r>
      <w:r w:rsidR="006B5E58" w:rsidRPr="006B5E58">
        <w:t>.</w:t>
      </w:r>
    </w:p>
    <w:p w:rsidR="006B5E58" w:rsidRPr="006B5E58" w:rsidRDefault="006B5E58" w:rsidP="006B5E58">
      <w:pPr>
        <w:pStyle w:val="NormalWeb"/>
        <w:spacing w:line="480" w:lineRule="auto"/>
      </w:pPr>
      <w:r w:rsidRPr="006B5E58">
        <w:t xml:space="preserve"> A chief measure of price inflation is the </w:t>
      </w:r>
      <w:hyperlink r:id="rId22" w:tooltip="Inflation rate" w:history="1">
        <w:r w:rsidRPr="006B5E58">
          <w:rPr>
            <w:rStyle w:val="Hyperlink"/>
            <w:color w:val="auto"/>
            <w:u w:val="none"/>
          </w:rPr>
          <w:t>inflation rate</w:t>
        </w:r>
      </w:hyperlink>
      <w:r w:rsidRPr="006B5E58">
        <w:t xml:space="preserve">, the annualized percentage change in the </w:t>
      </w:r>
      <w:hyperlink r:id="rId23" w:tooltip="Consumer Price Index" w:history="1">
        <w:r w:rsidRPr="006B5E58">
          <w:rPr>
            <w:rStyle w:val="Hyperlink"/>
            <w:color w:val="auto"/>
            <w:u w:val="none"/>
          </w:rPr>
          <w:t>Consumer Price Index</w:t>
        </w:r>
      </w:hyperlink>
      <w:r w:rsidRPr="006B5E58">
        <w:t xml:space="preserve"> over time</w:t>
      </w:r>
      <w:r>
        <w:t xml:space="preserve"> (which mentioned above)</w:t>
      </w:r>
      <w:r w:rsidRPr="006B5E58">
        <w:t>.</w:t>
      </w:r>
    </w:p>
    <w:p w:rsidR="00E45604" w:rsidRDefault="006B5E58" w:rsidP="00E45604">
      <w:pPr>
        <w:pStyle w:val="NormalWeb"/>
        <w:spacing w:line="480" w:lineRule="auto"/>
      </w:pPr>
      <w:r w:rsidRPr="006B5E58">
        <w:t xml:space="preserve">Inflation's effects on an economy are manifold and can be simultaneously </w:t>
      </w:r>
      <w:hyperlink r:id="rId24" w:anchor="Positive" w:history="1">
        <w:r w:rsidRPr="006B5E58">
          <w:rPr>
            <w:rStyle w:val="Hyperlink"/>
            <w:color w:val="auto"/>
            <w:u w:val="none"/>
          </w:rPr>
          <w:t>positive</w:t>
        </w:r>
      </w:hyperlink>
      <w:r w:rsidRPr="006B5E58">
        <w:t xml:space="preserve"> and </w:t>
      </w:r>
      <w:hyperlink r:id="rId25" w:anchor="Negative" w:history="1">
        <w:r w:rsidRPr="006B5E58">
          <w:rPr>
            <w:rStyle w:val="Hyperlink"/>
            <w:color w:val="auto"/>
            <w:u w:val="none"/>
          </w:rPr>
          <w:t>negative</w:t>
        </w:r>
      </w:hyperlink>
      <w:r w:rsidRPr="006B5E58">
        <w:t>.</w:t>
      </w:r>
    </w:p>
    <w:p w:rsidR="00E45604" w:rsidRDefault="00E638C0" w:rsidP="00CB5997">
      <w:pPr>
        <w:pStyle w:val="NormalWeb"/>
        <w:spacing w:line="480" w:lineRule="auto"/>
      </w:pPr>
      <w:r>
        <w:rPr>
          <w:noProof/>
        </w:rPr>
        <w:pict>
          <v:shape id="_x0000_s1030" type="#_x0000_t32" style="position:absolute;margin-left:-1.95pt;margin-top:60.4pt;width:134.45pt;height:0;z-index:251662336" o:connectortype="straight">
            <w10:wrap anchorx="page"/>
          </v:shape>
        </w:pict>
      </w:r>
      <w:r w:rsidR="00CB5997" w:rsidRPr="006B5E58">
        <w:t>Negative effects of inflation include a decrease in the real value of money and other monetary items over time; uncertainty about future inflation may discourage</w:t>
      </w:r>
    </w:p>
    <w:p w:rsidR="00E45604" w:rsidRPr="00E45604" w:rsidRDefault="000E07EE" w:rsidP="006B5E58">
      <w:pPr>
        <w:pStyle w:val="NormalWeb"/>
        <w:spacing w:line="480" w:lineRule="auto"/>
        <w:rPr>
          <w:sz w:val="20"/>
          <w:szCs w:val="20"/>
        </w:rPr>
      </w:pPr>
      <w:r>
        <w:rPr>
          <w:sz w:val="20"/>
          <w:szCs w:val="20"/>
          <w:vertAlign w:val="superscript"/>
        </w:rPr>
        <w:t xml:space="preserve">4 </w:t>
      </w:r>
      <w:r w:rsidR="00E45604" w:rsidRPr="00E45604">
        <w:rPr>
          <w:sz w:val="20"/>
          <w:szCs w:val="20"/>
        </w:rPr>
        <w:t>http://wapedia.mobi/en/Inflation.</w:t>
      </w:r>
    </w:p>
    <w:p w:rsidR="004F0909" w:rsidRDefault="006B5E58" w:rsidP="00E45604">
      <w:pPr>
        <w:pStyle w:val="NormalWeb"/>
        <w:spacing w:line="480" w:lineRule="auto"/>
      </w:pPr>
      <w:r w:rsidRPr="006B5E58">
        <w:lastRenderedPageBreak/>
        <w:t xml:space="preserve"> </w:t>
      </w:r>
      <w:r w:rsidR="00CB5997">
        <w:t>I</w:t>
      </w:r>
      <w:r w:rsidRPr="006B5E58">
        <w:t xml:space="preserve">nvestment and saving, or may lead to reductions in investment of productive capital and increase savings in non-producing assets. e.g. selling stocks and buying gold. This can reduce overall economic productivity rates, as the capital required to retool companies becomes more elusive or expensive. High inflation may lead to shortages of </w:t>
      </w:r>
      <w:hyperlink r:id="rId26" w:tooltip="Good (economics)" w:history="1">
        <w:r w:rsidRPr="006B5E58">
          <w:rPr>
            <w:rStyle w:val="Hyperlink"/>
            <w:color w:val="auto"/>
            <w:u w:val="none"/>
          </w:rPr>
          <w:t>goods</w:t>
        </w:r>
      </w:hyperlink>
      <w:r w:rsidRPr="006B5E58">
        <w:t xml:space="preserve"> if consumers begin </w:t>
      </w:r>
      <w:hyperlink r:id="rId27" w:tooltip="Hoarding" w:history="1">
        <w:r w:rsidRPr="006B5E58">
          <w:rPr>
            <w:rStyle w:val="Hyperlink"/>
            <w:color w:val="auto"/>
            <w:u w:val="none"/>
          </w:rPr>
          <w:t>hoarding</w:t>
        </w:r>
      </w:hyperlink>
      <w:r w:rsidRPr="006B5E58">
        <w:t xml:space="preserve"> out of concern that prices will increase in the future.</w:t>
      </w:r>
    </w:p>
    <w:p w:rsidR="004F0909" w:rsidRPr="006B5E58" w:rsidRDefault="006B5E58" w:rsidP="004F0909">
      <w:pPr>
        <w:pStyle w:val="NormalWeb"/>
        <w:spacing w:line="480" w:lineRule="auto"/>
      </w:pPr>
      <w:r w:rsidRPr="006B5E58">
        <w:t xml:space="preserve"> Positive effects include a mitigation of economic </w:t>
      </w:r>
      <w:hyperlink r:id="rId28" w:tooltip="Recession" w:history="1">
        <w:r w:rsidRPr="006B5E58">
          <w:rPr>
            <w:rStyle w:val="Hyperlink"/>
            <w:color w:val="auto"/>
            <w:u w:val="none"/>
          </w:rPr>
          <w:t>recessions</w:t>
        </w:r>
      </w:hyperlink>
      <w:r w:rsidRPr="006B5E58">
        <w:t xml:space="preserve">, and </w:t>
      </w:r>
      <w:hyperlink r:id="rId29" w:tooltip="Debt relief" w:history="1">
        <w:r w:rsidRPr="006B5E58">
          <w:rPr>
            <w:rStyle w:val="Hyperlink"/>
            <w:color w:val="auto"/>
            <w:u w:val="none"/>
          </w:rPr>
          <w:t>debt relief</w:t>
        </w:r>
      </w:hyperlink>
      <w:r w:rsidRPr="006B5E58">
        <w:t xml:space="preserve"> by reducing the real level of debt.</w:t>
      </w:r>
    </w:p>
    <w:p w:rsidR="006B5E58" w:rsidRDefault="006B5E58" w:rsidP="006B5E58">
      <w:pPr>
        <w:pStyle w:val="NormalWeb"/>
        <w:spacing w:line="480" w:lineRule="auto"/>
      </w:pPr>
      <w:r w:rsidRPr="006B5E58">
        <w:t xml:space="preserve">High rates of inflation and </w:t>
      </w:r>
      <w:hyperlink r:id="rId30" w:tooltip="Hyperinflation" w:history="1">
        <w:r w:rsidRPr="006B5E58">
          <w:rPr>
            <w:rStyle w:val="Hyperlink"/>
            <w:color w:val="auto"/>
            <w:u w:val="none"/>
          </w:rPr>
          <w:t>hyperinflation</w:t>
        </w:r>
      </w:hyperlink>
      <w:r w:rsidRPr="006B5E58">
        <w:t xml:space="preserve"> can be caused by an excessive growth of the </w:t>
      </w:r>
      <w:hyperlink r:id="rId31" w:tooltip="Money supply" w:history="1">
        <w:r w:rsidRPr="006B5E58">
          <w:rPr>
            <w:rStyle w:val="Hyperlink"/>
            <w:color w:val="auto"/>
            <w:u w:val="none"/>
          </w:rPr>
          <w:t>money supply</w:t>
        </w:r>
      </w:hyperlink>
      <w:r w:rsidRPr="006B5E58">
        <w:t xml:space="preserve">. Views on which factors determine low to moderate rates of inflation are more varied. Low or moderate inflation may be attributed to fluctuations in </w:t>
      </w:r>
      <w:hyperlink r:id="rId32" w:tooltip="Real versus nominal value" w:history="1">
        <w:r w:rsidRPr="006B5E58">
          <w:rPr>
            <w:rStyle w:val="Hyperlink"/>
            <w:color w:val="auto"/>
            <w:u w:val="none"/>
          </w:rPr>
          <w:t>real</w:t>
        </w:r>
      </w:hyperlink>
      <w:r w:rsidRPr="006B5E58">
        <w:t xml:space="preserve"> </w:t>
      </w:r>
      <w:hyperlink r:id="rId33" w:tooltip="Demand" w:history="1">
        <w:r w:rsidRPr="006B5E58">
          <w:rPr>
            <w:rStyle w:val="Hyperlink"/>
            <w:color w:val="auto"/>
            <w:u w:val="none"/>
          </w:rPr>
          <w:t>demand</w:t>
        </w:r>
      </w:hyperlink>
      <w:r w:rsidRPr="006B5E58">
        <w:t xml:space="preserve"> for goods and services, or changes in available supplies such as during </w:t>
      </w:r>
      <w:hyperlink r:id="rId34" w:tooltip="Scarcity" w:history="1">
        <w:r w:rsidRPr="006B5E58">
          <w:rPr>
            <w:rStyle w:val="Hyperlink"/>
            <w:color w:val="auto"/>
            <w:u w:val="none"/>
          </w:rPr>
          <w:t>scarcities</w:t>
        </w:r>
      </w:hyperlink>
      <w:r w:rsidRPr="006B5E58">
        <w:t xml:space="preserve">, as well as to growth in the money supply. However, the consensus view is that a long sustained period of inflation is caused by money supply growing faster than the rate of </w:t>
      </w:r>
      <w:hyperlink r:id="rId35" w:tooltip="Economic growth" w:history="1">
        <w:r w:rsidRPr="006B5E58">
          <w:rPr>
            <w:rStyle w:val="Hyperlink"/>
            <w:color w:val="auto"/>
            <w:u w:val="none"/>
          </w:rPr>
          <w:t>economic growth</w:t>
        </w:r>
      </w:hyperlink>
      <w:r w:rsidRPr="006B5E58">
        <w:t>.</w:t>
      </w:r>
    </w:p>
    <w:p w:rsidR="004F0909" w:rsidRPr="0039618A" w:rsidRDefault="004F0909" w:rsidP="0039618A">
      <w:pPr>
        <w:pStyle w:val="NormalWeb"/>
        <w:spacing w:line="480" w:lineRule="auto"/>
        <w:rPr>
          <w:rFonts w:asciiTheme="majorBidi" w:hAnsiTheme="majorBidi" w:cstheme="majorBidi"/>
        </w:rPr>
      </w:pPr>
      <w:r w:rsidRPr="0039618A">
        <w:rPr>
          <w:rFonts w:asciiTheme="majorBidi" w:hAnsiTheme="majorBidi" w:cstheme="majorBidi"/>
        </w:rPr>
        <w:t>Inflation normally measured by many indicators like:</w:t>
      </w:r>
    </w:p>
    <w:p w:rsidR="004F0909" w:rsidRPr="0039618A" w:rsidRDefault="004F0909" w:rsidP="0039618A">
      <w:pPr>
        <w:pStyle w:val="NormalWeb"/>
        <w:numPr>
          <w:ilvl w:val="0"/>
          <w:numId w:val="4"/>
        </w:numPr>
        <w:spacing w:line="480" w:lineRule="auto"/>
        <w:rPr>
          <w:rFonts w:asciiTheme="majorBidi" w:hAnsiTheme="majorBidi" w:cstheme="majorBidi"/>
        </w:rPr>
      </w:pPr>
      <w:r w:rsidRPr="0039618A">
        <w:rPr>
          <w:rFonts w:asciiTheme="majorBidi" w:hAnsiTheme="majorBidi" w:cstheme="majorBidi"/>
        </w:rPr>
        <w:t>Consumer price index:</w:t>
      </w:r>
    </w:p>
    <w:p w:rsidR="004F0909" w:rsidRPr="0039618A" w:rsidRDefault="004F0909" w:rsidP="0039618A">
      <w:pPr>
        <w:pStyle w:val="NormalWeb"/>
        <w:spacing w:line="480" w:lineRule="auto"/>
        <w:rPr>
          <w:rFonts w:asciiTheme="majorBidi" w:hAnsiTheme="majorBidi" w:cstheme="majorBidi"/>
        </w:rPr>
      </w:pPr>
      <w:r w:rsidRPr="0039618A">
        <w:rPr>
          <w:rFonts w:asciiTheme="majorBidi" w:hAnsiTheme="majorBidi" w:cstheme="majorBidi"/>
        </w:rPr>
        <w:t>We mentioned above in details.</w:t>
      </w:r>
    </w:p>
    <w:p w:rsidR="0039618A" w:rsidRDefault="00E638C0" w:rsidP="0039618A">
      <w:pPr>
        <w:pStyle w:val="NormalWeb"/>
        <w:numPr>
          <w:ilvl w:val="0"/>
          <w:numId w:val="4"/>
        </w:numPr>
        <w:spacing w:line="480" w:lineRule="auto"/>
        <w:rPr>
          <w:rFonts w:asciiTheme="majorBidi" w:hAnsiTheme="majorBidi" w:cstheme="majorBidi"/>
        </w:rPr>
      </w:pPr>
      <w:hyperlink r:id="rId36" w:tooltip="Producer price index" w:history="1">
        <w:r w:rsidR="004F0909" w:rsidRPr="0039618A">
          <w:rPr>
            <w:rStyle w:val="Hyperlink"/>
            <w:rFonts w:asciiTheme="majorBidi" w:hAnsiTheme="majorBidi" w:cstheme="majorBidi"/>
            <w:color w:val="auto"/>
            <w:u w:val="none"/>
          </w:rPr>
          <w:t>Producer price indices</w:t>
        </w:r>
      </w:hyperlink>
      <w:r w:rsidR="004F0909" w:rsidRPr="0039618A">
        <w:rPr>
          <w:rFonts w:asciiTheme="majorBidi" w:hAnsiTheme="majorBidi" w:cstheme="majorBidi"/>
        </w:rPr>
        <w:t xml:space="preserve"> (PPIs)</w:t>
      </w:r>
      <w:r w:rsidR="0039618A">
        <w:rPr>
          <w:rFonts w:asciiTheme="majorBidi" w:hAnsiTheme="majorBidi" w:cstheme="majorBidi"/>
        </w:rPr>
        <w:t>:</w:t>
      </w:r>
    </w:p>
    <w:p w:rsidR="004F0909" w:rsidRPr="0039618A" w:rsidRDefault="004F0909" w:rsidP="0039618A">
      <w:pPr>
        <w:pStyle w:val="NormalWeb"/>
        <w:spacing w:line="480" w:lineRule="auto"/>
        <w:rPr>
          <w:rFonts w:asciiTheme="majorBidi" w:hAnsiTheme="majorBidi" w:cstheme="majorBidi"/>
        </w:rPr>
      </w:pPr>
      <w:r w:rsidRPr="0039618A">
        <w:rPr>
          <w:rFonts w:asciiTheme="majorBidi" w:hAnsiTheme="majorBidi" w:cstheme="majorBidi"/>
        </w:rPr>
        <w:t xml:space="preserve"> which measures average changes in prices received by domestic producers for their output. This differs from the CPI in that price subsidization, profits, and taxes may </w:t>
      </w:r>
      <w:r w:rsidRPr="0039618A">
        <w:rPr>
          <w:rFonts w:asciiTheme="majorBidi" w:hAnsiTheme="majorBidi" w:cstheme="majorBidi"/>
        </w:rPr>
        <w:lastRenderedPageBreak/>
        <w:t xml:space="preserve">cause the amount received by the producer to differ from what the consumer paid. There is also typically a delay between an increase in the PPI and any eventual increase in the CPI. Producer price index measures the pressure being put on producers by the costs of their raw materials. This could be "passed on" to consumers, or it could be absorbed by profits, or offset by increasing productivity. In India and the United States, an earlier version of the PPI was called the </w:t>
      </w:r>
      <w:hyperlink r:id="rId37" w:tooltip="Wholesale price index" w:history="1">
        <w:r w:rsidRPr="0039618A">
          <w:rPr>
            <w:rStyle w:val="Hyperlink"/>
            <w:rFonts w:asciiTheme="majorBidi" w:hAnsiTheme="majorBidi" w:cstheme="majorBidi"/>
            <w:color w:val="auto"/>
            <w:u w:val="none"/>
          </w:rPr>
          <w:t>Wholesale Price Index</w:t>
        </w:r>
      </w:hyperlink>
      <w:r w:rsidRPr="0039618A">
        <w:rPr>
          <w:rFonts w:asciiTheme="majorBidi" w:hAnsiTheme="majorBidi" w:cstheme="majorBidi"/>
        </w:rPr>
        <w:t>.</w:t>
      </w:r>
    </w:p>
    <w:p w:rsidR="004F0909" w:rsidRPr="0039618A" w:rsidRDefault="004F0909" w:rsidP="0039618A">
      <w:pPr>
        <w:pStyle w:val="ListParagraph"/>
        <w:numPr>
          <w:ilvl w:val="0"/>
          <w:numId w:val="4"/>
        </w:numPr>
        <w:spacing w:line="480" w:lineRule="auto"/>
        <w:rPr>
          <w:rFonts w:asciiTheme="majorBidi" w:hAnsiTheme="majorBidi" w:cstheme="majorBidi"/>
        </w:rPr>
      </w:pPr>
      <w:r w:rsidRPr="0039618A">
        <w:rPr>
          <w:rFonts w:asciiTheme="majorBidi" w:hAnsiTheme="majorBidi" w:cstheme="majorBidi"/>
        </w:rPr>
        <w:t xml:space="preserve"> </w:t>
      </w:r>
      <w:hyperlink r:id="rId38" w:tooltip="Commodity price index" w:history="1">
        <w:r w:rsidRPr="0039618A">
          <w:rPr>
            <w:rStyle w:val="Hyperlink"/>
            <w:rFonts w:asciiTheme="majorBidi" w:hAnsiTheme="majorBidi" w:cstheme="majorBidi"/>
            <w:color w:val="auto"/>
            <w:u w:val="none"/>
          </w:rPr>
          <w:t>Commodity price indices</w:t>
        </w:r>
      </w:hyperlink>
      <w:r w:rsidRPr="0039618A">
        <w:rPr>
          <w:rFonts w:asciiTheme="majorBidi" w:hAnsiTheme="majorBidi" w:cstheme="majorBidi"/>
        </w:rPr>
        <w:t xml:space="preserve">, which measure the price of a selection of commodities. In the present commodity price indices are weighted by the relative importance of the components to the "all in" cost of an employee. </w:t>
      </w:r>
    </w:p>
    <w:p w:rsidR="004F0909" w:rsidRPr="0039618A" w:rsidRDefault="004F0909" w:rsidP="0039618A">
      <w:pPr>
        <w:pStyle w:val="NormalWeb"/>
        <w:numPr>
          <w:ilvl w:val="0"/>
          <w:numId w:val="4"/>
        </w:numPr>
        <w:spacing w:line="480" w:lineRule="auto"/>
        <w:rPr>
          <w:rFonts w:asciiTheme="majorBidi" w:hAnsiTheme="majorBidi" w:cstheme="majorBidi"/>
        </w:rPr>
      </w:pPr>
      <w:r w:rsidRPr="0039618A">
        <w:rPr>
          <w:rFonts w:asciiTheme="majorBidi" w:hAnsiTheme="majorBidi" w:cstheme="majorBidi"/>
        </w:rPr>
        <w:t xml:space="preserve"> </w:t>
      </w:r>
      <w:hyperlink r:id="rId39" w:tooltip="Core inflation" w:history="1">
        <w:r w:rsidRPr="0039618A">
          <w:rPr>
            <w:rStyle w:val="Hyperlink"/>
            <w:rFonts w:asciiTheme="majorBidi" w:hAnsiTheme="majorBidi" w:cstheme="majorBidi"/>
            <w:color w:val="auto"/>
            <w:u w:val="none"/>
          </w:rPr>
          <w:t>Core price indices</w:t>
        </w:r>
      </w:hyperlink>
      <w:r w:rsidRPr="0039618A">
        <w:rPr>
          <w:rFonts w:asciiTheme="majorBidi" w:hAnsiTheme="majorBidi" w:cstheme="majorBidi"/>
        </w:rPr>
        <w:t xml:space="preserve">: because food and oil prices can change quickly due to changes in supply and demand conditions in the food and oil markets, it can be difficult to detect the long run trend in price levels when those prices are included. Therefore most </w:t>
      </w:r>
      <w:hyperlink r:id="rId40" w:tooltip="List of national and international statistical services" w:history="1">
        <w:r w:rsidRPr="0039618A">
          <w:rPr>
            <w:rStyle w:val="Hyperlink"/>
            <w:rFonts w:asciiTheme="majorBidi" w:hAnsiTheme="majorBidi" w:cstheme="majorBidi"/>
            <w:color w:val="auto"/>
            <w:u w:val="none"/>
          </w:rPr>
          <w:t>statistical agencies</w:t>
        </w:r>
      </w:hyperlink>
      <w:r w:rsidRPr="0039618A">
        <w:rPr>
          <w:rFonts w:asciiTheme="majorBidi" w:hAnsiTheme="majorBidi" w:cstheme="majorBidi"/>
        </w:rPr>
        <w:t xml:space="preserve"> also report a measure of 'core inflation', which removes the most volatile components (such as food and oil) from a broad price index like the CPI. Because core inflation is less affected by short run supply and demand conditions in specific markets, </w:t>
      </w:r>
      <w:hyperlink r:id="rId41" w:tooltip="Central bank" w:history="1">
        <w:r w:rsidRPr="0039618A">
          <w:rPr>
            <w:rStyle w:val="Hyperlink"/>
            <w:rFonts w:asciiTheme="majorBidi" w:hAnsiTheme="majorBidi" w:cstheme="majorBidi"/>
            <w:color w:val="auto"/>
            <w:u w:val="none"/>
          </w:rPr>
          <w:t>central banks</w:t>
        </w:r>
      </w:hyperlink>
      <w:r w:rsidRPr="0039618A">
        <w:rPr>
          <w:rFonts w:asciiTheme="majorBidi" w:hAnsiTheme="majorBidi" w:cstheme="majorBidi"/>
        </w:rPr>
        <w:t xml:space="preserve"> rely on it to better measure the inflationary impact of current </w:t>
      </w:r>
      <w:hyperlink r:id="rId42" w:tooltip="Monetary policy" w:history="1">
        <w:r w:rsidRPr="0039618A">
          <w:rPr>
            <w:rStyle w:val="Hyperlink"/>
            <w:rFonts w:asciiTheme="majorBidi" w:hAnsiTheme="majorBidi" w:cstheme="majorBidi"/>
            <w:color w:val="auto"/>
            <w:u w:val="none"/>
          </w:rPr>
          <w:t>monetary policy</w:t>
        </w:r>
      </w:hyperlink>
      <w:r w:rsidRPr="0039618A">
        <w:rPr>
          <w:rFonts w:asciiTheme="majorBidi" w:hAnsiTheme="majorBidi" w:cstheme="majorBidi"/>
        </w:rPr>
        <w:t>.</w:t>
      </w:r>
    </w:p>
    <w:p w:rsidR="004F0909" w:rsidRPr="0039618A" w:rsidRDefault="004F0909" w:rsidP="0039618A">
      <w:pPr>
        <w:pStyle w:val="ListParagraph"/>
        <w:numPr>
          <w:ilvl w:val="0"/>
          <w:numId w:val="4"/>
        </w:numPr>
        <w:spacing w:line="480" w:lineRule="auto"/>
        <w:rPr>
          <w:rFonts w:asciiTheme="majorBidi" w:hAnsiTheme="majorBidi" w:cstheme="majorBidi"/>
        </w:rPr>
      </w:pPr>
      <w:r w:rsidRPr="0039618A">
        <w:rPr>
          <w:rFonts w:asciiTheme="majorBidi" w:hAnsiTheme="majorBidi" w:cstheme="majorBidi"/>
        </w:rPr>
        <w:t xml:space="preserve"> </w:t>
      </w:r>
      <w:hyperlink r:id="rId43" w:tooltip="GDP deflator" w:history="1">
        <w:r w:rsidRPr="0039618A">
          <w:rPr>
            <w:rStyle w:val="Hyperlink"/>
            <w:rFonts w:asciiTheme="majorBidi" w:hAnsiTheme="majorBidi" w:cstheme="majorBidi"/>
            <w:color w:val="auto"/>
            <w:u w:val="none"/>
          </w:rPr>
          <w:t>GDP deflator</w:t>
        </w:r>
      </w:hyperlink>
      <w:r w:rsidRPr="0039618A">
        <w:rPr>
          <w:rFonts w:asciiTheme="majorBidi" w:hAnsiTheme="majorBidi" w:cstheme="majorBidi"/>
        </w:rPr>
        <w:t xml:space="preserve"> is a measure of the price of all the goods and services included in </w:t>
      </w:r>
      <w:hyperlink r:id="rId44" w:tooltip="Gross Domestic Product" w:history="1">
        <w:r w:rsidRPr="0039618A">
          <w:rPr>
            <w:rStyle w:val="Hyperlink"/>
            <w:rFonts w:asciiTheme="majorBidi" w:hAnsiTheme="majorBidi" w:cstheme="majorBidi"/>
            <w:color w:val="auto"/>
            <w:u w:val="none"/>
          </w:rPr>
          <w:t>Gross Domestic Product</w:t>
        </w:r>
      </w:hyperlink>
      <w:r w:rsidRPr="0039618A">
        <w:rPr>
          <w:rFonts w:asciiTheme="majorBidi" w:hAnsiTheme="majorBidi" w:cstheme="majorBidi"/>
        </w:rPr>
        <w:t xml:space="preserve"> (GDP). The US Commerce Department publishes a deflator series for US GDP, defined as its nominal GDP measure divided by its real GDP measure. </w:t>
      </w:r>
    </w:p>
    <w:p w:rsidR="004A677B" w:rsidRDefault="006A4DF0" w:rsidP="004A677B">
      <w:pPr>
        <w:pStyle w:val="NormalWeb"/>
        <w:spacing w:line="480" w:lineRule="auto"/>
        <w:ind w:left="720"/>
        <w:rPr>
          <w:rFonts w:asciiTheme="majorBidi" w:hAnsiTheme="majorBidi" w:cstheme="majorBidi"/>
        </w:rPr>
      </w:pPr>
      <w:r>
        <w:rPr>
          <w:rFonts w:asciiTheme="majorBidi" w:hAnsiTheme="majorBidi" w:cstheme="majorBidi"/>
        </w:rPr>
        <w:t xml:space="preserve">This research will depends on the consumer price </w:t>
      </w:r>
      <w:r w:rsidR="004A677B">
        <w:rPr>
          <w:rFonts w:asciiTheme="majorBidi" w:hAnsiTheme="majorBidi" w:cstheme="majorBidi"/>
        </w:rPr>
        <w:t>index as</w:t>
      </w:r>
      <w:r w:rsidR="002952E2">
        <w:rPr>
          <w:rFonts w:asciiTheme="majorBidi" w:hAnsiTheme="majorBidi" w:cstheme="majorBidi"/>
        </w:rPr>
        <w:t xml:space="preserve"> </w:t>
      </w:r>
      <w:r w:rsidR="004A677B">
        <w:rPr>
          <w:rFonts w:asciiTheme="majorBidi" w:hAnsiTheme="majorBidi" w:cstheme="majorBidi"/>
        </w:rPr>
        <w:t>a base</w:t>
      </w:r>
      <w:r w:rsidR="002952E2">
        <w:rPr>
          <w:rFonts w:asciiTheme="majorBidi" w:hAnsiTheme="majorBidi" w:cstheme="majorBidi"/>
        </w:rPr>
        <w:t xml:space="preserve"> for me</w:t>
      </w:r>
      <w:r w:rsidR="00F15081">
        <w:rPr>
          <w:rFonts w:asciiTheme="majorBidi" w:hAnsiTheme="majorBidi" w:cstheme="majorBidi"/>
        </w:rPr>
        <w:t>asuring the inflation</w:t>
      </w:r>
      <w:r w:rsidR="008E43D5">
        <w:rPr>
          <w:rFonts w:asciiTheme="majorBidi" w:hAnsiTheme="majorBidi" w:cstheme="majorBidi"/>
        </w:rPr>
        <w:t xml:space="preserve"> rate for every year</w:t>
      </w:r>
      <w:r w:rsidR="00F15081">
        <w:rPr>
          <w:rFonts w:asciiTheme="majorBidi" w:hAnsiTheme="majorBidi" w:cstheme="majorBidi"/>
        </w:rPr>
        <w:t xml:space="preserve"> because </w:t>
      </w:r>
      <w:r w:rsidR="002952E2">
        <w:rPr>
          <w:rFonts w:asciiTheme="majorBidi" w:hAnsiTheme="majorBidi" w:cstheme="majorBidi"/>
        </w:rPr>
        <w:t>its</w:t>
      </w:r>
      <w:r w:rsidR="004A677B">
        <w:rPr>
          <w:rFonts w:asciiTheme="majorBidi" w:hAnsiTheme="majorBidi" w:cstheme="majorBidi"/>
        </w:rPr>
        <w:t xml:space="preserve"> most</w:t>
      </w:r>
      <w:r w:rsidR="002952E2">
        <w:rPr>
          <w:rFonts w:asciiTheme="majorBidi" w:hAnsiTheme="majorBidi" w:cstheme="majorBidi"/>
        </w:rPr>
        <w:t xml:space="preserve"> </w:t>
      </w:r>
      <w:r w:rsidR="00F15081">
        <w:rPr>
          <w:rFonts w:asciiTheme="majorBidi" w:hAnsiTheme="majorBidi" w:cstheme="majorBidi"/>
        </w:rPr>
        <w:t xml:space="preserve">widely </w:t>
      </w:r>
      <w:r w:rsidR="004A677B">
        <w:rPr>
          <w:rFonts w:asciiTheme="majorBidi" w:hAnsiTheme="majorBidi" w:cstheme="majorBidi"/>
        </w:rPr>
        <w:t>used, and its data are more available than other indicators.</w:t>
      </w:r>
    </w:p>
    <w:p w:rsidR="00601E4E" w:rsidRDefault="00601E4E" w:rsidP="004A677B">
      <w:pPr>
        <w:pStyle w:val="NormalWeb"/>
        <w:spacing w:line="480" w:lineRule="auto"/>
        <w:ind w:left="720"/>
        <w:rPr>
          <w:rFonts w:asciiTheme="majorBidi" w:hAnsiTheme="majorBidi" w:cstheme="majorBidi"/>
        </w:rPr>
      </w:pPr>
      <w:r>
        <w:rPr>
          <w:rFonts w:asciiTheme="majorBidi" w:hAnsiTheme="majorBidi" w:cstheme="majorBidi"/>
        </w:rPr>
        <w:lastRenderedPageBreak/>
        <w:t xml:space="preserve">This equation is used in </w:t>
      </w:r>
      <w:r w:rsidR="008E43D5">
        <w:rPr>
          <w:rFonts w:asciiTheme="majorBidi" w:hAnsiTheme="majorBidi" w:cstheme="majorBidi"/>
        </w:rPr>
        <w:t>this research</w:t>
      </w:r>
      <w:r>
        <w:rPr>
          <w:rFonts w:asciiTheme="majorBidi" w:hAnsiTheme="majorBidi" w:cstheme="majorBidi"/>
        </w:rPr>
        <w:t xml:space="preserve"> to compute the inflation rate:</w:t>
      </w:r>
    </w:p>
    <w:p w:rsidR="006F35B7" w:rsidRDefault="00601E4E" w:rsidP="004A677B">
      <w:pPr>
        <w:pStyle w:val="NormalWeb"/>
        <w:spacing w:line="480" w:lineRule="auto"/>
        <w:ind w:left="720"/>
        <w:rPr>
          <w:rFonts w:asciiTheme="majorBidi" w:hAnsiTheme="majorBidi" w:cstheme="majorBidi"/>
          <w:vertAlign w:val="subscript"/>
        </w:rPr>
      </w:pPr>
      <w:r>
        <w:rPr>
          <w:rFonts w:asciiTheme="majorBidi" w:hAnsiTheme="majorBidi" w:cstheme="majorBidi"/>
        </w:rPr>
        <w:t>IR= (CPI</w:t>
      </w:r>
      <w:r>
        <w:rPr>
          <w:rFonts w:asciiTheme="majorBidi" w:hAnsiTheme="majorBidi" w:cstheme="majorBidi"/>
          <w:vertAlign w:val="subscript"/>
        </w:rPr>
        <w:t xml:space="preserve">t </w:t>
      </w:r>
      <w:r>
        <w:rPr>
          <w:rFonts w:asciiTheme="majorBidi" w:hAnsiTheme="majorBidi" w:cstheme="majorBidi"/>
        </w:rPr>
        <w:t>– CPI</w:t>
      </w:r>
      <w:r>
        <w:rPr>
          <w:rFonts w:asciiTheme="majorBidi" w:hAnsiTheme="majorBidi" w:cstheme="majorBidi"/>
          <w:vertAlign w:val="subscript"/>
        </w:rPr>
        <w:t>t-1</w:t>
      </w:r>
      <w:r>
        <w:rPr>
          <w:rFonts w:asciiTheme="majorBidi" w:hAnsiTheme="majorBidi" w:cstheme="majorBidi"/>
        </w:rPr>
        <w:t>)/CPI</w:t>
      </w:r>
      <w:r>
        <w:rPr>
          <w:rFonts w:asciiTheme="majorBidi" w:hAnsiTheme="majorBidi" w:cstheme="majorBidi"/>
          <w:vertAlign w:val="subscript"/>
        </w:rPr>
        <w:t>t-1</w:t>
      </w:r>
    </w:p>
    <w:p w:rsidR="000C075A" w:rsidRDefault="006F35B7" w:rsidP="00B035AC">
      <w:pPr>
        <w:pStyle w:val="NormalWeb"/>
        <w:spacing w:line="480" w:lineRule="auto"/>
        <w:ind w:left="720"/>
        <w:rPr>
          <w:rFonts w:asciiTheme="majorBidi" w:hAnsiTheme="majorBidi" w:cstheme="majorBidi"/>
          <w:b/>
          <w:bCs/>
        </w:rPr>
      </w:pPr>
      <w:r>
        <w:rPr>
          <w:rFonts w:asciiTheme="majorBidi" w:hAnsiTheme="majorBidi" w:cstheme="majorBidi"/>
        </w:rPr>
        <w:t xml:space="preserve">Source: </w:t>
      </w:r>
      <w:hyperlink r:id="rId45" w:history="1">
        <w:r w:rsidR="00644F37" w:rsidRPr="00644F37">
          <w:rPr>
            <w:rStyle w:val="Hyperlink"/>
            <w:rFonts w:asciiTheme="majorBidi" w:hAnsiTheme="majorBidi" w:cstheme="majorBidi"/>
            <w:color w:val="auto"/>
            <w:u w:val="none"/>
          </w:rPr>
          <w:t>http://en.wikipedia.org/wiki/Inflation</w:t>
        </w:r>
      </w:hyperlink>
      <w:r w:rsidR="00644F37">
        <w:rPr>
          <w:rFonts w:asciiTheme="majorBidi" w:hAnsiTheme="majorBidi" w:cstheme="majorBidi"/>
        </w:rPr>
        <w:t>.</w:t>
      </w:r>
    </w:p>
    <w:p w:rsidR="008E43D5" w:rsidRPr="008E43D5" w:rsidRDefault="008E43D5" w:rsidP="00644F37">
      <w:pPr>
        <w:pStyle w:val="NormalWeb"/>
        <w:spacing w:line="480" w:lineRule="auto"/>
        <w:ind w:left="720"/>
        <w:rPr>
          <w:rFonts w:asciiTheme="majorBidi" w:hAnsiTheme="majorBidi" w:cstheme="majorBidi"/>
          <w:b/>
          <w:bCs/>
        </w:rPr>
      </w:pPr>
      <w:r w:rsidRPr="008E43D5">
        <w:rPr>
          <w:rFonts w:asciiTheme="majorBidi" w:hAnsiTheme="majorBidi" w:cstheme="majorBidi"/>
          <w:b/>
          <w:bCs/>
        </w:rPr>
        <w:t>The</w:t>
      </w:r>
      <w:r w:rsidR="000E07EE">
        <w:rPr>
          <w:rFonts w:asciiTheme="majorBidi" w:hAnsiTheme="majorBidi" w:cstheme="majorBidi"/>
          <w:b/>
          <w:bCs/>
        </w:rPr>
        <w:t xml:space="preserve"> adjusted inflation rate</w:t>
      </w:r>
      <w:r w:rsidRPr="008E43D5">
        <w:rPr>
          <w:rFonts w:asciiTheme="majorBidi" w:hAnsiTheme="majorBidi" w:cstheme="majorBidi"/>
          <w:b/>
          <w:bCs/>
        </w:rPr>
        <w:t xml:space="preserve"> </w:t>
      </w:r>
      <w:r w:rsidR="000E07EE">
        <w:rPr>
          <w:rFonts w:asciiTheme="majorBidi" w:hAnsiTheme="majorBidi" w:cstheme="majorBidi"/>
          <w:b/>
          <w:bCs/>
        </w:rPr>
        <w:t>(</w:t>
      </w:r>
      <w:r w:rsidRPr="008E43D5">
        <w:rPr>
          <w:rFonts w:asciiTheme="majorBidi" w:hAnsiTheme="majorBidi" w:cstheme="majorBidi"/>
          <w:b/>
          <w:bCs/>
        </w:rPr>
        <w:t>AIR</w:t>
      </w:r>
      <w:r w:rsidR="000E07EE">
        <w:rPr>
          <w:rFonts w:asciiTheme="majorBidi" w:hAnsiTheme="majorBidi" w:cstheme="majorBidi"/>
          <w:b/>
          <w:bCs/>
        </w:rPr>
        <w:t>)</w:t>
      </w:r>
      <w:r w:rsidRPr="008E43D5">
        <w:rPr>
          <w:rFonts w:asciiTheme="majorBidi" w:hAnsiTheme="majorBidi" w:cstheme="majorBidi"/>
          <w:b/>
          <w:bCs/>
        </w:rPr>
        <w:t>:</w:t>
      </w:r>
    </w:p>
    <w:p w:rsidR="008E43D5" w:rsidRDefault="008E43D5" w:rsidP="008E43D5">
      <w:pPr>
        <w:pStyle w:val="NormalWeb"/>
        <w:spacing w:line="480" w:lineRule="auto"/>
      </w:pPr>
      <w:r>
        <w:t xml:space="preserve">The </w:t>
      </w:r>
      <w:r w:rsidR="009B5CBD">
        <w:t>Adjusted inflation</w:t>
      </w:r>
      <w:r>
        <w:t xml:space="preserve"> rate, this indicator has the same aspects of IR indicator, except </w:t>
      </w:r>
      <w:r w:rsidR="009B5CBD">
        <w:t>that it</w:t>
      </w:r>
      <w:r>
        <w:t xml:space="preserve"> reflects the good</w:t>
      </w:r>
      <w:r w:rsidR="00B03B01">
        <w:t>s</w:t>
      </w:r>
      <w:r>
        <w:t xml:space="preserve"> and services prices i</w:t>
      </w:r>
      <w:r w:rsidR="00B7755A">
        <w:t>n gold.</w:t>
      </w:r>
    </w:p>
    <w:p w:rsidR="008E43D5" w:rsidRDefault="008E43D5" w:rsidP="00BD4F24">
      <w:pPr>
        <w:pStyle w:val="NormalWeb"/>
        <w:spacing w:line="480" w:lineRule="auto"/>
      </w:pPr>
      <w:r>
        <w:t xml:space="preserve">This equation is used in this research </w:t>
      </w:r>
      <w:r w:rsidR="00BD4F24">
        <w:t>for computing the AIR</w:t>
      </w:r>
      <w:r>
        <w:t>:</w:t>
      </w:r>
    </w:p>
    <w:p w:rsidR="000C075A" w:rsidRPr="00B035AC" w:rsidRDefault="00BD4F24" w:rsidP="00B035AC">
      <w:pPr>
        <w:pStyle w:val="NormalWeb"/>
        <w:spacing w:line="480" w:lineRule="auto"/>
        <w:ind w:left="720"/>
        <w:rPr>
          <w:rFonts w:asciiTheme="majorBidi" w:hAnsiTheme="majorBidi" w:cstheme="majorBidi"/>
        </w:rPr>
      </w:pPr>
      <w:r>
        <w:rPr>
          <w:rFonts w:asciiTheme="majorBidi" w:hAnsiTheme="majorBidi" w:cstheme="majorBidi"/>
        </w:rPr>
        <w:t>AIR= (ACPI</w:t>
      </w:r>
      <w:r>
        <w:rPr>
          <w:rFonts w:asciiTheme="majorBidi" w:hAnsiTheme="majorBidi" w:cstheme="majorBidi"/>
          <w:vertAlign w:val="subscript"/>
        </w:rPr>
        <w:t xml:space="preserve">t </w:t>
      </w:r>
      <w:r>
        <w:rPr>
          <w:rFonts w:asciiTheme="majorBidi" w:hAnsiTheme="majorBidi" w:cstheme="majorBidi"/>
        </w:rPr>
        <w:t>–ACPI</w:t>
      </w:r>
      <w:r>
        <w:rPr>
          <w:rFonts w:asciiTheme="majorBidi" w:hAnsiTheme="majorBidi" w:cstheme="majorBidi"/>
          <w:vertAlign w:val="subscript"/>
        </w:rPr>
        <w:t>t-1</w:t>
      </w:r>
      <w:r>
        <w:rPr>
          <w:rFonts w:asciiTheme="majorBidi" w:hAnsiTheme="majorBidi" w:cstheme="majorBidi"/>
        </w:rPr>
        <w:t>)/ACPI</w:t>
      </w:r>
      <w:r>
        <w:rPr>
          <w:rFonts w:asciiTheme="majorBidi" w:hAnsiTheme="majorBidi" w:cstheme="majorBidi"/>
          <w:vertAlign w:val="subscript"/>
        </w:rPr>
        <w:t>t-1</w:t>
      </w:r>
    </w:p>
    <w:p w:rsidR="00BD4F24" w:rsidRDefault="00B035AC" w:rsidP="00644F37">
      <w:pPr>
        <w:pStyle w:val="NormalWeb"/>
        <w:spacing w:line="480" w:lineRule="auto"/>
        <w:ind w:left="720"/>
        <w:rPr>
          <w:rFonts w:asciiTheme="majorBidi" w:hAnsiTheme="majorBidi" w:cstheme="majorBidi"/>
          <w:b/>
          <w:bCs/>
        </w:rPr>
      </w:pPr>
      <w:r>
        <w:rPr>
          <w:rFonts w:asciiTheme="majorBidi" w:hAnsiTheme="majorBidi" w:cstheme="majorBidi"/>
          <w:b/>
          <w:bCs/>
        </w:rPr>
        <w:t xml:space="preserve"> The </w:t>
      </w:r>
      <w:r w:rsidR="00FF20A3" w:rsidRPr="00FF20A3">
        <w:rPr>
          <w:rFonts w:asciiTheme="majorBidi" w:hAnsiTheme="majorBidi" w:cstheme="majorBidi"/>
          <w:b/>
          <w:bCs/>
        </w:rPr>
        <w:t>Gold:</w:t>
      </w:r>
    </w:p>
    <w:p w:rsidR="00E42C7D" w:rsidRDefault="00E42C7D" w:rsidP="00E42C7D">
      <w:pPr>
        <w:spacing w:before="100" w:beforeAutospacing="1" w:after="100" w:afterAutospacing="1" w:line="480" w:lineRule="auto"/>
      </w:pPr>
      <w:r w:rsidRPr="00E42C7D">
        <w:t>Gold is thought to be one of the first known metals. The word “gold” came from an old Eng</w:t>
      </w:r>
      <w:r>
        <w:t>lish word geolo, meaning yellow</w:t>
      </w:r>
      <w:r w:rsidRPr="00E42C7D">
        <w:t>.</w:t>
      </w:r>
    </w:p>
    <w:p w:rsidR="00E42C7D" w:rsidRPr="00E42C7D" w:rsidRDefault="00E42C7D" w:rsidP="00E42C7D">
      <w:pPr>
        <w:spacing w:before="100" w:beforeAutospacing="1" w:after="100" w:afterAutospacing="1" w:line="480" w:lineRule="auto"/>
      </w:pPr>
      <w:r w:rsidRPr="00E42C7D">
        <w:t xml:space="preserve"> Gold has been a valuable metal throughout</w:t>
      </w:r>
      <w:r>
        <w:t xml:space="preserve"> the ages because it is scarce and</w:t>
      </w:r>
      <w:r w:rsidRPr="00E42C7D">
        <w:t xml:space="preserve"> a beautiful metal that has a lovely yellow color and a soft metallic glow. It i</w:t>
      </w:r>
      <w:r>
        <w:t>s soft and easy to work with</w:t>
      </w:r>
      <w:r w:rsidRPr="00E42C7D">
        <w:t xml:space="preserve">. It is very malleable and can be easily shaped into various forms. It is highly resistant to rust and is corrosion-resistant. </w:t>
      </w:r>
    </w:p>
    <w:p w:rsidR="00E42C7D" w:rsidRPr="00E42C7D" w:rsidRDefault="00E42C7D" w:rsidP="00E42C7D">
      <w:pPr>
        <w:spacing w:before="100" w:beforeAutospacing="1" w:after="100" w:afterAutospacing="1" w:line="480" w:lineRule="auto"/>
      </w:pPr>
      <w:r w:rsidRPr="00E42C7D">
        <w:t>Gold (AU is the chemical symbol) is also used today in many electrical components. But it’s most well-known use as money — as a medium of exchange. Money used to actually be made out of gold. Gold coins were tra</w:t>
      </w:r>
      <w:r>
        <w:t>ded for goods and services.</w:t>
      </w:r>
    </w:p>
    <w:p w:rsidR="00644F37" w:rsidRDefault="00E42C7D" w:rsidP="00637B33">
      <w:pPr>
        <w:spacing w:before="100" w:beforeAutospacing="1" w:after="100" w:afterAutospacing="1" w:line="480" w:lineRule="auto"/>
      </w:pPr>
      <w:r w:rsidRPr="00E42C7D">
        <w:lastRenderedPageBreak/>
        <w:t xml:space="preserve">The phrase “gold standard” is defined as the use of gold as the standard value for the money of a country. If a country will redeem any of its money in gold it is said to be using the gold standard. The U.S. and many other Western countries adhered to the gold standard during the early 1900’s. </w:t>
      </w:r>
    </w:p>
    <w:p w:rsidR="00644F37" w:rsidRDefault="00E42C7D" w:rsidP="00637B33">
      <w:pPr>
        <w:spacing w:before="100" w:beforeAutospacing="1" w:after="100" w:afterAutospacing="1" w:line="480" w:lineRule="auto"/>
      </w:pPr>
      <w:r w:rsidRPr="00E42C7D">
        <w:t xml:space="preserve">Today, however, gold’s role in the worldwide monetary system is negligible. Britain abandoned the gold standard 1931; the USA abandoned it 1971. Holdings of gold are still retained because it is an internationally recognized commodity, which cannot be legislated upon or manipulated by interested countries. On August 15, 1971, the world entered the first era in its history in which no circulating paper anywhere was redeemable in gold, by anyone. At one point in time it was illegal for a U.S. citizen to own gold. </w:t>
      </w:r>
    </w:p>
    <w:p w:rsidR="00637B33" w:rsidRDefault="00E42C7D" w:rsidP="00637B33">
      <w:pPr>
        <w:spacing w:before="100" w:beforeAutospacing="1" w:after="100" w:afterAutospacing="1" w:line="480" w:lineRule="auto"/>
      </w:pPr>
      <w:r w:rsidRPr="00E42C7D">
        <w:t>President Richard Nixon of U.S. closed the “gold window.” This action broke the last tie between gold and circulating currency, resulting in our modern financial system which is called a “floating currency” system.</w:t>
      </w:r>
    </w:p>
    <w:p w:rsidR="003719EF" w:rsidRDefault="00644F37">
      <w:pPr>
        <w:spacing w:after="200" w:line="276" w:lineRule="auto"/>
        <w:rPr>
          <w:rFonts w:eastAsiaTheme="minorHAnsi"/>
        </w:rPr>
      </w:pPr>
      <w:r w:rsidRPr="00644F37">
        <w:rPr>
          <w:rFonts w:asciiTheme="majorBidi" w:hAnsiTheme="majorBidi" w:cstheme="majorBidi"/>
        </w:rPr>
        <w:t>Source :http://www.essortment.com/all/goldstandards_rgvh.htm</w:t>
      </w:r>
      <w:r>
        <w:rPr>
          <w:rFonts w:eastAsiaTheme="minorHAnsi"/>
        </w:rPr>
        <w:t>.</w:t>
      </w:r>
    </w:p>
    <w:p w:rsidR="000C075A" w:rsidRDefault="000C075A" w:rsidP="000D063B">
      <w:pPr>
        <w:spacing w:after="200" w:line="480" w:lineRule="auto"/>
        <w:rPr>
          <w:rFonts w:eastAsiaTheme="minorHAnsi"/>
          <w:b/>
          <w:bCs/>
        </w:rPr>
      </w:pPr>
    </w:p>
    <w:p w:rsidR="00644F37" w:rsidRDefault="00B035AC" w:rsidP="000D063B">
      <w:pPr>
        <w:spacing w:after="200" w:line="480" w:lineRule="auto"/>
        <w:rPr>
          <w:b/>
          <w:bCs/>
        </w:rPr>
      </w:pPr>
      <w:r>
        <w:rPr>
          <w:b/>
          <w:bCs/>
        </w:rPr>
        <w:t>The Fiat M</w:t>
      </w:r>
      <w:r w:rsidR="00644F37">
        <w:rPr>
          <w:b/>
          <w:bCs/>
        </w:rPr>
        <w:t>oney:</w:t>
      </w:r>
      <w:r w:rsidR="00644F37">
        <w:t xml:space="preserve"> </w:t>
      </w:r>
    </w:p>
    <w:p w:rsidR="000E07EE" w:rsidRDefault="00644F37" w:rsidP="000C075A">
      <w:pPr>
        <w:spacing w:after="200" w:line="480" w:lineRule="auto"/>
      </w:pPr>
      <w:r w:rsidRPr="00644F37">
        <w:t>Fiat money</w:t>
      </w:r>
      <w:r w:rsidR="003719EF">
        <w:t xml:space="preserve"> is currency, which is declared by a government to be legal tender, i.e. it is not backed by a physical commodity and has value solely because a government accepts it for payments of taxes and debts. Virtually, almost all of the world</w:t>
      </w:r>
      <w:r w:rsidR="00AC22F5">
        <w:rPr>
          <w:rFonts w:ascii="Arial Unicode MS" w:hAnsi="Arial Unicode MS" w:cs="Arial Unicode MS"/>
        </w:rPr>
        <w:t>'</w:t>
      </w:r>
      <w:r w:rsidR="00850869">
        <w:t>s C</w:t>
      </w:r>
      <w:r w:rsidR="003719EF">
        <w:t>urrency today is fiat money with the most popular ones being the US Dollar,</w:t>
      </w:r>
      <w:r w:rsidR="00AC22F5">
        <w:t xml:space="preserve"> the Euro, the Japanese Yen, </w:t>
      </w:r>
      <w:r w:rsidR="003719EF">
        <w:t>the British Po</w:t>
      </w:r>
      <w:r w:rsidR="00AC22F5">
        <w:t>und, and the Australian dollar.</w:t>
      </w:r>
      <w:r w:rsidR="003719EF">
        <w:br/>
      </w:r>
      <w:r w:rsidR="00D375C9">
        <w:lastRenderedPageBreak/>
        <w:t>"</w:t>
      </w:r>
      <w:r w:rsidR="003719EF">
        <w:t>The origin of the fiat money system dates back to early 11th century when the Chinese Song dynasty issued paper money subject to be redeemed for gold after three years. In reality, though, the banknotes were never redeemed, which created an enormous amount of inflation due to printing money exceeding production levels, and</w:t>
      </w:r>
      <w:r w:rsidR="000D063B">
        <w:t xml:space="preserve"> the system was soon abandoned</w:t>
      </w:r>
      <w:r w:rsidR="00D375C9">
        <w:t>"</w:t>
      </w:r>
      <w:r w:rsidR="000E07EE">
        <w:rPr>
          <w:vertAlign w:val="superscript"/>
        </w:rPr>
        <w:t>5</w:t>
      </w:r>
      <w:r w:rsidR="000D063B">
        <w:t>.</w:t>
      </w:r>
      <w:r w:rsidR="003719EF">
        <w:br/>
        <w:t xml:space="preserve">Fiat money has made appearance on the world economic scene on several occasions but it was not until the beginning of the 20th century that its universal application became a topic of serious debates. By this period, most nations already had a government monopoly on printing money, which were to be redeemed in gold upon request. However, with the outburst of World War I and the escalation of military expenditure, governments suspended the redemption of the already printed banknotes. Furthermore, country officials could not be held directly responsible for the eventual negative consequences of creating money with no intrinsic value and as a result, the increased supply of money devalued the </w:t>
      </w:r>
      <w:hyperlink r:id="rId46" w:tooltip="currency" w:history="1">
        <w:r w:rsidR="003719EF" w:rsidRPr="000D063B">
          <w:rPr>
            <w:rStyle w:val="Hyperlink"/>
            <w:color w:val="auto"/>
            <w:u w:val="none"/>
          </w:rPr>
          <w:t>currency</w:t>
        </w:r>
      </w:hyperlink>
      <w:r w:rsidR="003719EF" w:rsidRPr="000D063B">
        <w:t xml:space="preserve"> of</w:t>
      </w:r>
      <w:r w:rsidR="003719EF">
        <w:t xml:space="preserve"> </w:t>
      </w:r>
      <w:r w:rsidR="000E07EE">
        <w:t>the countries.</w:t>
      </w:r>
      <w:r w:rsidR="003719EF">
        <w:br/>
        <w:t>Following this economic shock, at the infamous Bretton-Woods Conference in 1945, the world</w:t>
      </w:r>
      <w:r w:rsidR="00AB0EA2">
        <w:rPr>
          <w:rFonts w:ascii="Arial Unicode MS" w:hAnsi="Arial Unicode MS" w:cs="Arial Unicode MS"/>
        </w:rPr>
        <w:t>'</w:t>
      </w:r>
      <w:r w:rsidR="003719EF">
        <w:t>s leading countries decided to take precautionary measures against the frivolous government printing. The US Dollar was pegged to the gold at a fixed rate per troy ounce, and a guarantee to redeem US dollars for gold was provided by the US government. This change proved to be beneficial for the trade balances of countries, but the whole system collapsed 26 years later when, during President Nixon</w:t>
      </w:r>
      <w:r w:rsidR="00AB0EA2">
        <w:rPr>
          <w:rFonts w:ascii="Arial Unicode MS" w:hAnsi="Arial Unicode MS" w:cs="Arial Unicode MS"/>
        </w:rPr>
        <w:t>'</w:t>
      </w:r>
      <w:r w:rsidR="003719EF">
        <w:t>s fiscal policy reforms, the gold standard was removed.</w:t>
      </w:r>
    </w:p>
    <w:p w:rsidR="00F26AE0" w:rsidRDefault="00E638C0" w:rsidP="000C075A">
      <w:pPr>
        <w:spacing w:after="200" w:line="480" w:lineRule="auto"/>
      </w:pPr>
      <w:r>
        <w:rPr>
          <w:noProof/>
        </w:rPr>
        <w:pict>
          <v:shape id="_x0000_s1031" type="#_x0000_t32" style="position:absolute;margin-left:-2.55pt;margin-top:31.35pt;width:134.45pt;height:0;z-index:251663360" o:connectortype="straight">
            <w10:wrap anchorx="page"/>
          </v:shape>
        </w:pict>
      </w:r>
    </w:p>
    <w:p w:rsidR="000E07EE" w:rsidRPr="00F26AE0" w:rsidRDefault="00F26AE0" w:rsidP="000C075A">
      <w:pPr>
        <w:spacing w:after="200" w:line="480" w:lineRule="auto"/>
        <w:rPr>
          <w:sz w:val="20"/>
          <w:szCs w:val="20"/>
        </w:rPr>
      </w:pPr>
      <w:r>
        <w:rPr>
          <w:rFonts w:eastAsiaTheme="minorHAnsi"/>
          <w:sz w:val="20"/>
          <w:szCs w:val="20"/>
          <w:vertAlign w:val="superscript"/>
        </w:rPr>
        <w:t xml:space="preserve">5 </w:t>
      </w:r>
      <w:r w:rsidRPr="00F26AE0">
        <w:rPr>
          <w:rFonts w:eastAsiaTheme="minorHAnsi"/>
          <w:sz w:val="20"/>
          <w:szCs w:val="20"/>
        </w:rPr>
        <w:t>http://www.centralbanksguide.com/fiat+money.</w:t>
      </w:r>
    </w:p>
    <w:p w:rsidR="000C075A" w:rsidRDefault="003719EF" w:rsidP="000C075A">
      <w:pPr>
        <w:spacing w:after="200" w:line="480" w:lineRule="auto"/>
      </w:pPr>
      <w:r>
        <w:lastRenderedPageBreak/>
        <w:t xml:space="preserve"> With the US dollar being declared legal tender, the government was again able to print currency in order to support its increasing spending needs. This process combined with the slow economic growth at the time (caused by the Oil Crisis) led to the US falling into one of their most serious financial downfall</w:t>
      </w:r>
      <w:r w:rsidR="00AB0EA2">
        <w:t>'</w:t>
      </w:r>
      <w:r>
        <w:t>s  the period of stagflation, which en</w:t>
      </w:r>
      <w:r w:rsidR="003A4E32">
        <w:t>compassed the whole 70s decade.</w:t>
      </w:r>
    </w:p>
    <w:p w:rsidR="00AB0EA2" w:rsidRDefault="003719EF" w:rsidP="000C075A">
      <w:pPr>
        <w:spacing w:after="200" w:line="480" w:lineRule="auto"/>
      </w:pPr>
      <w:r>
        <w:t>Fiat money has been an object of severe criticism ever since its creation. Opponents of the system argue that by not backing up their currency to something tangible, governments facilitate unjustifiable printing of money, which has been proven to generate inflation.</w:t>
      </w:r>
    </w:p>
    <w:p w:rsidR="003719EF" w:rsidRDefault="003719EF" w:rsidP="00D8205B">
      <w:pPr>
        <w:spacing w:after="200" w:line="480" w:lineRule="auto"/>
      </w:pPr>
      <w:r>
        <w:t xml:space="preserve"> Furthermore as the Austrian School of Economics points out, printed money creates an explosion of debt, often mistaken for a symptom of increased economic growth. Instead, they argue, the newly released money is not backed up by any assets or an increase in the productivity of the country which, according to Austrian economists, is the</w:t>
      </w:r>
      <w:r w:rsidR="00AB0EA2">
        <w:t xml:space="preserve"> real cause of economic growth.</w:t>
      </w:r>
    </w:p>
    <w:p w:rsidR="00644F37" w:rsidRPr="00644F37" w:rsidRDefault="00644F37" w:rsidP="00644F37">
      <w:pPr>
        <w:spacing w:after="200" w:line="276" w:lineRule="auto"/>
        <w:rPr>
          <w:rFonts w:eastAsiaTheme="minorHAnsi"/>
        </w:rPr>
      </w:pPr>
      <w:r w:rsidRPr="00644F37">
        <w:rPr>
          <w:rFonts w:eastAsiaTheme="minorHAnsi"/>
        </w:rPr>
        <w:t>Source:</w:t>
      </w:r>
      <w:r w:rsidRPr="00644F37">
        <w:t xml:space="preserve"> </w:t>
      </w:r>
      <w:r w:rsidRPr="00644F37">
        <w:rPr>
          <w:rFonts w:eastAsiaTheme="minorHAnsi"/>
        </w:rPr>
        <w:t>http://www.centralbanksguide.com/fiat+money.</w:t>
      </w:r>
    </w:p>
    <w:p w:rsidR="00644F37" w:rsidRPr="000D063B" w:rsidRDefault="00644F37" w:rsidP="000D063B">
      <w:pPr>
        <w:spacing w:after="200" w:line="480" w:lineRule="auto"/>
      </w:pPr>
    </w:p>
    <w:p w:rsidR="00B5354D" w:rsidRDefault="00B5354D">
      <w:pPr>
        <w:spacing w:after="200" w:line="276" w:lineRule="auto"/>
        <w:rPr>
          <w:rFonts w:eastAsiaTheme="minorHAnsi"/>
          <w:b/>
          <w:bCs/>
        </w:rPr>
      </w:pPr>
    </w:p>
    <w:p w:rsidR="000D0EFF" w:rsidRDefault="000D0EFF">
      <w:pPr>
        <w:spacing w:after="200" w:line="276" w:lineRule="auto"/>
        <w:rPr>
          <w:rFonts w:eastAsiaTheme="minorHAnsi"/>
          <w:b/>
          <w:bCs/>
        </w:rPr>
      </w:pPr>
      <w:r>
        <w:rPr>
          <w:rFonts w:eastAsiaTheme="minorHAnsi"/>
          <w:b/>
          <w:bCs/>
        </w:rPr>
        <w:br w:type="page"/>
      </w:r>
    </w:p>
    <w:p w:rsidR="000D0EFF" w:rsidRDefault="00B035AC" w:rsidP="00644F37">
      <w:pPr>
        <w:spacing w:after="200" w:line="276" w:lineRule="auto"/>
        <w:rPr>
          <w:rFonts w:eastAsiaTheme="minorHAnsi"/>
          <w:b/>
          <w:bCs/>
        </w:rPr>
      </w:pPr>
      <w:r>
        <w:rPr>
          <w:rFonts w:eastAsiaTheme="minorHAnsi"/>
          <w:b/>
          <w:bCs/>
        </w:rPr>
        <w:lastRenderedPageBreak/>
        <w:t>Price S</w:t>
      </w:r>
      <w:r w:rsidR="000D0EFF">
        <w:rPr>
          <w:rFonts w:eastAsiaTheme="minorHAnsi"/>
          <w:b/>
          <w:bCs/>
        </w:rPr>
        <w:t xml:space="preserve">tability: </w:t>
      </w:r>
    </w:p>
    <w:p w:rsidR="000D0EFF" w:rsidRPr="000D0EFF" w:rsidRDefault="000D0EFF" w:rsidP="000D0EFF">
      <w:pPr>
        <w:spacing w:before="100" w:beforeAutospacing="1" w:after="100" w:afterAutospacing="1" w:line="480" w:lineRule="auto"/>
      </w:pPr>
      <w:r w:rsidRPr="000D0EFF">
        <w:t>The objective of price stability refers to the general level of prices in the economy. It implies avoiding both prolonged inflation and deflation. Price stability contributes to achieving high levels of economic activity and employment by</w:t>
      </w:r>
      <w:r>
        <w:t>:</w:t>
      </w:r>
      <w:r w:rsidRPr="000D0EFF">
        <w:t xml:space="preserve"> </w:t>
      </w:r>
    </w:p>
    <w:p w:rsidR="000D0EFF" w:rsidRPr="000D0EFF" w:rsidRDefault="000D0EFF" w:rsidP="000D0EFF">
      <w:pPr>
        <w:numPr>
          <w:ilvl w:val="0"/>
          <w:numId w:val="5"/>
        </w:numPr>
        <w:spacing w:before="100" w:beforeAutospacing="1" w:after="100" w:afterAutospacing="1" w:line="480" w:lineRule="auto"/>
      </w:pPr>
      <w:r>
        <w:t>I</w:t>
      </w:r>
      <w:r w:rsidRPr="000D0EFF">
        <w:t>mproving the transparency of the price mechanism. Under price stability people can recognize changes in relative prices (i.e. prices between different goods), without being confused by changes in the overall price level. This allows them to make well-informed consumption and investment decisions and to allo</w:t>
      </w:r>
      <w:r>
        <w:t>cate resources more efficiently.</w:t>
      </w:r>
    </w:p>
    <w:p w:rsidR="000D0EFF" w:rsidRPr="000D0EFF" w:rsidRDefault="000D0EFF" w:rsidP="000D0EFF">
      <w:pPr>
        <w:numPr>
          <w:ilvl w:val="0"/>
          <w:numId w:val="5"/>
        </w:numPr>
        <w:spacing w:before="100" w:beforeAutospacing="1" w:after="100" w:afterAutospacing="1" w:line="480" w:lineRule="auto"/>
      </w:pPr>
      <w:r>
        <w:t>R</w:t>
      </w:r>
      <w:r w:rsidRPr="000D0EFF">
        <w:t>educing inflation risk premium in interest rates (i.e. compensation creditors ask for the risks associated with holding nominal assets). This reduces real interest rates and incr</w:t>
      </w:r>
      <w:r>
        <w:t>eases incentives to invest.</w:t>
      </w:r>
    </w:p>
    <w:p w:rsidR="000D0EFF" w:rsidRPr="000D0EFF" w:rsidRDefault="000D0EFF" w:rsidP="000D0EFF">
      <w:pPr>
        <w:numPr>
          <w:ilvl w:val="0"/>
          <w:numId w:val="5"/>
        </w:numPr>
        <w:spacing w:before="100" w:beforeAutospacing="1" w:after="100" w:afterAutospacing="1" w:line="480" w:lineRule="auto"/>
      </w:pPr>
      <w:r>
        <w:t>A</w:t>
      </w:r>
      <w:r w:rsidRPr="000D0EFF">
        <w:t>voiding unproductive activities to hedge against the negative i</w:t>
      </w:r>
      <w:r>
        <w:t>mpact of inflation or deflation.</w:t>
      </w:r>
    </w:p>
    <w:p w:rsidR="000D0EFF" w:rsidRPr="000D0EFF" w:rsidRDefault="000D0EFF" w:rsidP="000D0EFF">
      <w:pPr>
        <w:numPr>
          <w:ilvl w:val="0"/>
          <w:numId w:val="5"/>
        </w:numPr>
        <w:spacing w:before="100" w:beforeAutospacing="1" w:after="100" w:afterAutospacing="1" w:line="480" w:lineRule="auto"/>
      </w:pPr>
      <w:r>
        <w:t>R</w:t>
      </w:r>
      <w:r w:rsidRPr="000D0EFF">
        <w:t>educing distortions of inflation or deflation</w:t>
      </w:r>
      <w:r>
        <w:t xml:space="preserve">, which can exacerbate the bad </w:t>
      </w:r>
      <w:r w:rsidRPr="000D0EFF">
        <w:t>impact on economic behavior of tax and soci</w:t>
      </w:r>
      <w:r>
        <w:t>al security systems.</w:t>
      </w:r>
    </w:p>
    <w:p w:rsidR="000D0EFF" w:rsidRDefault="000D0EFF" w:rsidP="000D0EFF">
      <w:pPr>
        <w:numPr>
          <w:ilvl w:val="0"/>
          <w:numId w:val="5"/>
        </w:numPr>
        <w:spacing w:before="100" w:beforeAutospacing="1" w:after="100" w:afterAutospacing="1" w:line="480" w:lineRule="auto"/>
      </w:pPr>
      <w:r w:rsidRPr="000D0EFF">
        <w:t>Preventing an arbitrary redistribution of wealth and income as a result of unexpected inflation or deflation.</w:t>
      </w:r>
    </w:p>
    <w:p w:rsidR="000E07EE" w:rsidRPr="000E07EE" w:rsidRDefault="000E07EE" w:rsidP="000E07EE">
      <w:pPr>
        <w:spacing w:after="200" w:line="276" w:lineRule="auto"/>
        <w:ind w:left="360"/>
        <w:rPr>
          <w:rFonts w:eastAsiaTheme="minorHAnsi"/>
        </w:rPr>
      </w:pPr>
      <w:r>
        <w:rPr>
          <w:rFonts w:eastAsiaTheme="minorHAnsi"/>
        </w:rPr>
        <w:t>S</w:t>
      </w:r>
      <w:r w:rsidRPr="000E07EE">
        <w:rPr>
          <w:rFonts w:eastAsiaTheme="minorHAnsi"/>
        </w:rPr>
        <w:t>ource:http://www.ecb.europa.eu/mopo/intro/benefits/html/index.en.html.</w:t>
      </w:r>
    </w:p>
    <w:p w:rsidR="001D2567" w:rsidRDefault="001D2567" w:rsidP="0079082F">
      <w:pPr>
        <w:spacing w:after="200" w:line="480" w:lineRule="auto"/>
      </w:pPr>
      <w:r>
        <w:t xml:space="preserve">In general, governments put the price stability goal in the </w:t>
      </w:r>
      <w:r>
        <w:rPr>
          <w:rStyle w:val="shorttext"/>
        </w:rPr>
        <w:t>priority</w:t>
      </w:r>
      <w:r>
        <w:t xml:space="preserve"> of its economic goals, and they use the both monetary and fiscal policy to achieve this goal.</w:t>
      </w:r>
    </w:p>
    <w:p w:rsidR="00EF3280" w:rsidRPr="00EF3280" w:rsidRDefault="001D2567" w:rsidP="0079082F">
      <w:pPr>
        <w:spacing w:after="200" w:line="480" w:lineRule="auto"/>
      </w:pPr>
      <w:r>
        <w:t xml:space="preserve"> However a lot of studies show that the prices after gold standard and the ending of Bretton </w:t>
      </w:r>
      <w:r w:rsidR="00130655">
        <w:t>Woods A</w:t>
      </w:r>
      <w:r>
        <w:t>greeme</w:t>
      </w:r>
      <w:r w:rsidR="00EF3280">
        <w:t xml:space="preserve">nt fluctuate more than it was, and </w:t>
      </w:r>
      <w:r w:rsidR="00EF3280">
        <w:rPr>
          <w:rFonts w:eastAsiaTheme="minorHAnsi"/>
        </w:rPr>
        <w:t xml:space="preserve">the floating exchange </w:t>
      </w:r>
      <w:r w:rsidR="00EF3280">
        <w:rPr>
          <w:rFonts w:eastAsiaTheme="minorHAnsi"/>
        </w:rPr>
        <w:lastRenderedPageBreak/>
        <w:t>system has brought a lot of fluctuation in exchange rate and high rising in the cost of living, which has renewed</w:t>
      </w:r>
      <w:r w:rsidR="00EF3280" w:rsidRPr="001D0AA1">
        <w:rPr>
          <w:rFonts w:eastAsiaTheme="minorHAnsi"/>
        </w:rPr>
        <w:t xml:space="preserve"> </w:t>
      </w:r>
      <w:r w:rsidR="00EF3280">
        <w:rPr>
          <w:rFonts w:eastAsiaTheme="minorHAnsi"/>
        </w:rPr>
        <w:t xml:space="preserve">the </w:t>
      </w:r>
      <w:r w:rsidR="00EF3280" w:rsidRPr="001D0AA1">
        <w:rPr>
          <w:rFonts w:eastAsiaTheme="minorHAnsi"/>
        </w:rPr>
        <w:t>interest in the gold</w:t>
      </w:r>
      <w:r w:rsidR="00EF3280">
        <w:rPr>
          <w:rFonts w:eastAsiaTheme="minorHAnsi"/>
        </w:rPr>
        <w:t xml:space="preserve"> </w:t>
      </w:r>
      <w:r w:rsidR="00EF3280" w:rsidRPr="001D0AA1">
        <w:rPr>
          <w:rFonts w:eastAsiaTheme="minorHAnsi"/>
        </w:rPr>
        <w:t>standard as a way to stabilize th</w:t>
      </w:r>
      <w:r w:rsidR="00EF3280">
        <w:rPr>
          <w:rFonts w:eastAsiaTheme="minorHAnsi"/>
        </w:rPr>
        <w:t>e purchasing power of the our money</w:t>
      </w:r>
      <w:r w:rsidR="00EF3280" w:rsidRPr="001D0AA1">
        <w:rPr>
          <w:rFonts w:eastAsiaTheme="minorHAnsi"/>
        </w:rPr>
        <w:t>.</w:t>
      </w:r>
    </w:p>
    <w:p w:rsidR="00EF3280" w:rsidRDefault="00EF3280" w:rsidP="00EF3280">
      <w:pPr>
        <w:autoSpaceDE w:val="0"/>
        <w:autoSpaceDN w:val="0"/>
        <w:adjustRightInd w:val="0"/>
        <w:spacing w:line="480" w:lineRule="auto"/>
        <w:rPr>
          <w:rFonts w:eastAsiaTheme="minorHAnsi"/>
        </w:rPr>
      </w:pPr>
      <w:r>
        <w:rPr>
          <w:rFonts w:eastAsiaTheme="minorHAnsi"/>
        </w:rPr>
        <w:t xml:space="preserve">Today some economists advocate the return to the gold standard, because of its ability to stabilize the purchasing power, which will influence all our life standards.   </w:t>
      </w:r>
    </w:p>
    <w:p w:rsidR="00EF3280" w:rsidRPr="001D0AA1" w:rsidRDefault="00EF3280" w:rsidP="00EF3280">
      <w:pPr>
        <w:autoSpaceDE w:val="0"/>
        <w:autoSpaceDN w:val="0"/>
        <w:adjustRightInd w:val="0"/>
        <w:spacing w:line="480" w:lineRule="auto"/>
        <w:rPr>
          <w:rFonts w:eastAsiaTheme="minorHAnsi"/>
        </w:rPr>
      </w:pPr>
      <w:r>
        <w:rPr>
          <w:rFonts w:eastAsiaTheme="minorHAnsi"/>
        </w:rPr>
        <w:t xml:space="preserve"> The opponents of gold standard say that the gold price is affected by the law of supply and demand and by its production.</w:t>
      </w:r>
    </w:p>
    <w:p w:rsidR="00593052" w:rsidRDefault="00EF3280" w:rsidP="000E07EE">
      <w:pPr>
        <w:autoSpaceDE w:val="0"/>
        <w:autoSpaceDN w:val="0"/>
        <w:adjustRightInd w:val="0"/>
        <w:spacing w:line="480" w:lineRule="auto"/>
        <w:rPr>
          <w:rFonts w:eastAsiaTheme="minorHAnsi"/>
        </w:rPr>
      </w:pPr>
      <w:r>
        <w:rPr>
          <w:rFonts w:eastAsiaTheme="minorHAnsi"/>
        </w:rPr>
        <w:t>The purpose of this research is to find out if the gold price stability still existed  after 1971, or the gold price fluctuate more than the fiat money price  according to the law of supply and demand and its production , and it's irrelevant to be the base of our economic.</w:t>
      </w:r>
    </w:p>
    <w:p w:rsidR="00EF3280" w:rsidRDefault="00270EA0" w:rsidP="00653DB5">
      <w:pPr>
        <w:autoSpaceDE w:val="0"/>
        <w:autoSpaceDN w:val="0"/>
        <w:adjustRightInd w:val="0"/>
        <w:spacing w:line="480" w:lineRule="auto"/>
        <w:rPr>
          <w:rFonts w:eastAsiaTheme="minorHAnsi"/>
        </w:rPr>
      </w:pPr>
      <w:r>
        <w:rPr>
          <w:rFonts w:eastAsiaTheme="minorHAnsi"/>
        </w:rPr>
        <w:t xml:space="preserve"> </w:t>
      </w:r>
      <w:r w:rsidR="00B035AC">
        <w:rPr>
          <w:rFonts w:eastAsiaTheme="minorHAnsi"/>
        </w:rPr>
        <w:t>In order to measure the price stability, t</w:t>
      </w:r>
      <w:r w:rsidR="00EF3280">
        <w:rPr>
          <w:rFonts w:eastAsiaTheme="minorHAnsi"/>
        </w:rPr>
        <w:t xml:space="preserve">his research used these </w:t>
      </w:r>
      <w:r w:rsidR="00593052">
        <w:rPr>
          <w:rFonts w:eastAsiaTheme="minorHAnsi"/>
        </w:rPr>
        <w:t xml:space="preserve">six indicators </w:t>
      </w:r>
      <w:r w:rsidR="00EF3280">
        <w:rPr>
          <w:rFonts w:eastAsiaTheme="minorHAnsi"/>
        </w:rPr>
        <w:t xml:space="preserve">in every country (USA, UK, </w:t>
      </w:r>
      <w:r w:rsidR="00593052">
        <w:rPr>
          <w:rFonts w:eastAsiaTheme="minorHAnsi"/>
        </w:rPr>
        <w:t>Japan, and Australia</w:t>
      </w:r>
      <w:r w:rsidR="00EF3280">
        <w:rPr>
          <w:rFonts w:eastAsiaTheme="minorHAnsi"/>
        </w:rPr>
        <w:t>)</w:t>
      </w:r>
      <w:r w:rsidR="00653DB5">
        <w:rPr>
          <w:rFonts w:eastAsiaTheme="minorHAnsi"/>
        </w:rPr>
        <w:t>:</w:t>
      </w:r>
    </w:p>
    <w:p w:rsidR="00653DB5" w:rsidRDefault="00403DFA" w:rsidP="0016427E">
      <w:pPr>
        <w:pStyle w:val="ListParagraph"/>
        <w:numPr>
          <w:ilvl w:val="0"/>
          <w:numId w:val="6"/>
        </w:numPr>
        <w:autoSpaceDE w:val="0"/>
        <w:autoSpaceDN w:val="0"/>
        <w:adjustRightInd w:val="0"/>
        <w:spacing w:line="480" w:lineRule="auto"/>
        <w:rPr>
          <w:rFonts w:eastAsiaTheme="minorHAnsi"/>
        </w:rPr>
      </w:pPr>
      <w:r>
        <w:rPr>
          <w:rFonts w:eastAsiaTheme="minorHAnsi"/>
        </w:rPr>
        <w:t>M</w:t>
      </w:r>
      <w:r w:rsidR="00653DB5">
        <w:rPr>
          <w:rFonts w:eastAsiaTheme="minorHAnsi"/>
        </w:rPr>
        <w:t>IR:</w:t>
      </w:r>
    </w:p>
    <w:p w:rsidR="00653DB5" w:rsidRDefault="00403DFA" w:rsidP="00653DB5">
      <w:pPr>
        <w:autoSpaceDE w:val="0"/>
        <w:autoSpaceDN w:val="0"/>
        <w:adjustRightInd w:val="0"/>
        <w:spacing w:line="480" w:lineRule="auto"/>
        <w:ind w:left="360"/>
        <w:rPr>
          <w:rFonts w:eastAsiaTheme="minorHAnsi"/>
        </w:rPr>
      </w:pPr>
      <w:r>
        <w:rPr>
          <w:rFonts w:eastAsiaTheme="minorHAnsi"/>
        </w:rPr>
        <w:t>The mean of i</w:t>
      </w:r>
      <w:r w:rsidR="00653DB5">
        <w:rPr>
          <w:rFonts w:eastAsiaTheme="minorHAnsi"/>
        </w:rPr>
        <w:t xml:space="preserve">nflation rate </w:t>
      </w:r>
      <w:r w:rsidR="00653DB5" w:rsidRPr="00653DB5">
        <w:rPr>
          <w:rFonts w:eastAsiaTheme="minorHAnsi"/>
        </w:rPr>
        <w:t>which measure</w:t>
      </w:r>
      <w:r>
        <w:rPr>
          <w:rFonts w:eastAsiaTheme="minorHAnsi"/>
        </w:rPr>
        <w:t>s</w:t>
      </w:r>
      <w:r w:rsidR="00653DB5" w:rsidRPr="00653DB5">
        <w:rPr>
          <w:rFonts w:eastAsiaTheme="minorHAnsi"/>
        </w:rPr>
        <w:t xml:space="preserve"> the price stability in the long run, we calculated by using this formula:</w:t>
      </w:r>
    </w:p>
    <w:p w:rsidR="00653DB5" w:rsidRDefault="00403DFA" w:rsidP="00403DFA">
      <w:pPr>
        <w:pStyle w:val="NormalWeb"/>
        <w:spacing w:line="480" w:lineRule="auto"/>
        <w:ind w:left="720"/>
        <w:rPr>
          <w:rFonts w:asciiTheme="majorBidi" w:hAnsiTheme="majorBidi" w:cstheme="majorBidi"/>
        </w:rPr>
      </w:pPr>
      <m:oMathPara>
        <m:oMath>
          <m:r>
            <w:rPr>
              <w:rFonts w:ascii="Cambria Math" w:hAnsi="Cambria Math" w:cstheme="majorBidi"/>
            </w:rPr>
            <m:t>MIR=</m:t>
          </m:r>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 xml:space="preserve">N </m:t>
              </m:r>
            </m:den>
          </m:f>
          <m:nary>
            <m:naryPr>
              <m:chr m:val="∑"/>
              <m:limLoc m:val="undOvr"/>
              <m:ctrlPr>
                <w:rPr>
                  <w:rFonts w:ascii="Cambria Math" w:hAnsi="Cambria Math" w:cstheme="majorBidi"/>
                  <w:i/>
                </w:rPr>
              </m:ctrlPr>
            </m:naryPr>
            <m:sub>
              <m:r>
                <w:rPr>
                  <w:rFonts w:ascii="Cambria Math" w:hAnsi="Cambria Math" w:cstheme="majorBidi"/>
                </w:rPr>
                <m:t>t=1</m:t>
              </m:r>
            </m:sub>
            <m:sup>
              <m:r>
                <w:rPr>
                  <w:rFonts w:ascii="Cambria Math" w:hAnsi="Cambria Math" w:cstheme="majorBidi"/>
                </w:rPr>
                <m:t>N</m:t>
              </m:r>
            </m:sup>
            <m:e>
              <m:r>
                <w:rPr>
                  <w:rFonts w:ascii="Cambria Math" w:hAnsi="Cambria Math" w:cstheme="majorBidi"/>
                </w:rPr>
                <m:t>IR</m:t>
              </m:r>
            </m:e>
          </m:nary>
        </m:oMath>
      </m:oMathPara>
    </w:p>
    <w:p w:rsidR="00EF3280" w:rsidRDefault="00653DB5" w:rsidP="00653DB5">
      <w:pPr>
        <w:autoSpaceDE w:val="0"/>
        <w:autoSpaceDN w:val="0"/>
        <w:adjustRightInd w:val="0"/>
        <w:spacing w:line="480" w:lineRule="auto"/>
        <w:rPr>
          <w:rFonts w:eastAsiaTheme="minorHAnsi"/>
        </w:rPr>
      </w:pPr>
      <w:r>
        <w:rPr>
          <w:rFonts w:eastAsiaTheme="minorHAnsi"/>
        </w:rPr>
        <w:t>IR: inflation rate.</w:t>
      </w:r>
    </w:p>
    <w:p w:rsidR="00403DFA" w:rsidRDefault="00403DFA" w:rsidP="00653DB5">
      <w:pPr>
        <w:autoSpaceDE w:val="0"/>
        <w:autoSpaceDN w:val="0"/>
        <w:adjustRightInd w:val="0"/>
        <w:spacing w:line="480" w:lineRule="auto"/>
        <w:rPr>
          <w:rFonts w:eastAsiaTheme="minorHAnsi"/>
        </w:rPr>
      </w:pPr>
      <w:r>
        <w:rPr>
          <w:rFonts w:eastAsiaTheme="minorHAnsi"/>
        </w:rPr>
        <w:t>N: number of years, which is in this research 39 years.</w:t>
      </w:r>
    </w:p>
    <w:p w:rsidR="00B035AC" w:rsidRDefault="005A5E7F" w:rsidP="00B035AC">
      <w:pPr>
        <w:autoSpaceDE w:val="0"/>
        <w:autoSpaceDN w:val="0"/>
        <w:adjustRightInd w:val="0"/>
        <w:spacing w:line="480" w:lineRule="auto"/>
        <w:rPr>
          <w:rFonts w:eastAsiaTheme="minorHAnsi"/>
        </w:rPr>
      </w:pPr>
      <w:r>
        <w:rPr>
          <w:rFonts w:eastAsiaTheme="minorHAnsi"/>
        </w:rPr>
        <w:t>t</w:t>
      </w:r>
      <w:r w:rsidR="00162FA0">
        <w:rPr>
          <w:rFonts w:eastAsiaTheme="minorHAnsi"/>
        </w:rPr>
        <w:t>: year</w:t>
      </w:r>
      <w:r w:rsidR="00B035AC">
        <w:rPr>
          <w:rFonts w:eastAsiaTheme="minorHAnsi"/>
        </w:rPr>
        <w:t xml:space="preserve"> </w:t>
      </w:r>
    </w:p>
    <w:p w:rsidR="000C075A" w:rsidRDefault="000C075A" w:rsidP="00653DB5">
      <w:pPr>
        <w:autoSpaceDE w:val="0"/>
        <w:autoSpaceDN w:val="0"/>
        <w:adjustRightInd w:val="0"/>
        <w:spacing w:line="480" w:lineRule="auto"/>
        <w:rPr>
          <w:rFonts w:eastAsiaTheme="minorHAnsi"/>
        </w:rPr>
      </w:pPr>
    </w:p>
    <w:p w:rsidR="000C075A" w:rsidRDefault="000C075A" w:rsidP="00653DB5">
      <w:pPr>
        <w:autoSpaceDE w:val="0"/>
        <w:autoSpaceDN w:val="0"/>
        <w:adjustRightInd w:val="0"/>
        <w:spacing w:line="480" w:lineRule="auto"/>
        <w:rPr>
          <w:rFonts w:eastAsiaTheme="minorHAnsi"/>
        </w:rPr>
      </w:pPr>
    </w:p>
    <w:p w:rsidR="00653DB5" w:rsidRDefault="00162FA0" w:rsidP="00653DB5">
      <w:pPr>
        <w:pStyle w:val="ListParagraph"/>
        <w:numPr>
          <w:ilvl w:val="0"/>
          <w:numId w:val="6"/>
        </w:numPr>
        <w:autoSpaceDE w:val="0"/>
        <w:autoSpaceDN w:val="0"/>
        <w:adjustRightInd w:val="0"/>
        <w:spacing w:line="480" w:lineRule="auto"/>
        <w:rPr>
          <w:rFonts w:eastAsiaTheme="minorHAnsi"/>
        </w:rPr>
      </w:pPr>
      <w:r>
        <w:rPr>
          <w:rFonts w:eastAsiaTheme="minorHAnsi"/>
        </w:rPr>
        <w:lastRenderedPageBreak/>
        <w:t>M</w:t>
      </w:r>
      <w:r w:rsidR="00653DB5">
        <w:rPr>
          <w:rFonts w:eastAsiaTheme="minorHAnsi"/>
        </w:rPr>
        <w:t>AIR:</w:t>
      </w:r>
    </w:p>
    <w:p w:rsidR="005E5CB9" w:rsidRDefault="00162FA0" w:rsidP="00DC407D">
      <w:pPr>
        <w:autoSpaceDE w:val="0"/>
        <w:autoSpaceDN w:val="0"/>
        <w:adjustRightInd w:val="0"/>
        <w:spacing w:line="480" w:lineRule="auto"/>
        <w:rPr>
          <w:rFonts w:eastAsiaTheme="minorHAnsi"/>
        </w:rPr>
      </w:pPr>
      <w:r>
        <w:rPr>
          <w:rFonts w:eastAsiaTheme="minorHAnsi"/>
        </w:rPr>
        <w:t>The mean of a</w:t>
      </w:r>
      <w:r w:rsidR="005E5CB9">
        <w:rPr>
          <w:rFonts w:eastAsiaTheme="minorHAnsi"/>
        </w:rPr>
        <w:t>djusted i</w:t>
      </w:r>
      <w:r w:rsidR="005E5CB9" w:rsidRPr="005E5CB9">
        <w:rPr>
          <w:rFonts w:eastAsiaTheme="minorHAnsi"/>
        </w:rPr>
        <w:t>nflation rate which measure</w:t>
      </w:r>
      <w:r w:rsidR="00355D83">
        <w:rPr>
          <w:rFonts w:eastAsiaTheme="minorHAnsi"/>
        </w:rPr>
        <w:t>s</w:t>
      </w:r>
      <w:r w:rsidR="005E5CB9" w:rsidRPr="005E5CB9">
        <w:rPr>
          <w:rFonts w:eastAsiaTheme="minorHAnsi"/>
        </w:rPr>
        <w:t xml:space="preserve"> the price stability in the long run,</w:t>
      </w:r>
      <w:r w:rsidR="00DC407D">
        <w:rPr>
          <w:rFonts w:eastAsiaTheme="minorHAnsi"/>
        </w:rPr>
        <w:t xml:space="preserve"> but it reflects the goods and services prices in gold.</w:t>
      </w:r>
    </w:p>
    <w:p w:rsidR="00355D83" w:rsidRPr="00162FA0" w:rsidRDefault="0079082F" w:rsidP="00162FA0">
      <w:pPr>
        <w:autoSpaceDE w:val="0"/>
        <w:autoSpaceDN w:val="0"/>
        <w:adjustRightInd w:val="0"/>
        <w:spacing w:line="480" w:lineRule="auto"/>
        <w:rPr>
          <w:rFonts w:eastAsiaTheme="minorHAnsi"/>
        </w:rPr>
      </w:pPr>
      <w:r>
        <w:rPr>
          <w:rFonts w:eastAsiaTheme="minorHAnsi"/>
        </w:rPr>
        <w:t>We calculated by using this formula:</w:t>
      </w:r>
    </w:p>
    <w:p w:rsidR="00162FA0" w:rsidRDefault="00162FA0" w:rsidP="00162FA0">
      <w:pPr>
        <w:pStyle w:val="NormalWeb"/>
        <w:spacing w:line="480" w:lineRule="auto"/>
        <w:ind w:left="720"/>
        <w:rPr>
          <w:rFonts w:asciiTheme="majorBidi" w:hAnsiTheme="majorBidi" w:cstheme="majorBidi"/>
        </w:rPr>
      </w:pPr>
      <m:oMathPara>
        <m:oMath>
          <m:r>
            <w:rPr>
              <w:rFonts w:ascii="Cambria Math" w:hAnsi="Cambria Math" w:cstheme="majorBidi"/>
            </w:rPr>
            <m:t>MAIR=</m:t>
          </m:r>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 xml:space="preserve">N </m:t>
              </m:r>
            </m:den>
          </m:f>
          <m:nary>
            <m:naryPr>
              <m:chr m:val="∑"/>
              <m:limLoc m:val="undOvr"/>
              <m:ctrlPr>
                <w:rPr>
                  <w:rFonts w:ascii="Cambria Math" w:hAnsi="Cambria Math" w:cstheme="majorBidi"/>
                  <w:i/>
                </w:rPr>
              </m:ctrlPr>
            </m:naryPr>
            <m:sub>
              <m:r>
                <w:rPr>
                  <w:rFonts w:ascii="Cambria Math" w:hAnsi="Cambria Math" w:cstheme="majorBidi"/>
                </w:rPr>
                <m:t>t=1</m:t>
              </m:r>
            </m:sub>
            <m:sup>
              <m:r>
                <w:rPr>
                  <w:rFonts w:ascii="Cambria Math" w:hAnsi="Cambria Math" w:cstheme="majorBidi"/>
                </w:rPr>
                <m:t>N</m:t>
              </m:r>
            </m:sup>
            <m:e>
              <m:r>
                <w:rPr>
                  <w:rFonts w:ascii="Cambria Math" w:hAnsi="Cambria Math" w:cstheme="majorBidi"/>
                </w:rPr>
                <m:t>AIR</m:t>
              </m:r>
            </m:e>
          </m:nary>
        </m:oMath>
      </m:oMathPara>
    </w:p>
    <w:p w:rsidR="00162FA0" w:rsidRDefault="00162FA0" w:rsidP="00162FA0">
      <w:pPr>
        <w:autoSpaceDE w:val="0"/>
        <w:autoSpaceDN w:val="0"/>
        <w:adjustRightInd w:val="0"/>
        <w:spacing w:line="480" w:lineRule="auto"/>
        <w:ind w:left="360"/>
        <w:rPr>
          <w:rFonts w:eastAsiaTheme="minorHAnsi"/>
        </w:rPr>
      </w:pPr>
      <w:r>
        <w:rPr>
          <w:rFonts w:eastAsiaTheme="minorHAnsi"/>
        </w:rPr>
        <w:t>AIR: adjusted inflation rate.</w:t>
      </w:r>
    </w:p>
    <w:p w:rsidR="00162FA0" w:rsidRDefault="00162FA0" w:rsidP="00162FA0">
      <w:pPr>
        <w:autoSpaceDE w:val="0"/>
        <w:autoSpaceDN w:val="0"/>
        <w:adjustRightInd w:val="0"/>
        <w:spacing w:line="480" w:lineRule="auto"/>
        <w:ind w:left="360"/>
        <w:rPr>
          <w:rFonts w:eastAsiaTheme="minorHAnsi"/>
        </w:rPr>
      </w:pPr>
      <w:r>
        <w:rPr>
          <w:rFonts w:eastAsiaTheme="minorHAnsi"/>
        </w:rPr>
        <w:t>N: number of years.</w:t>
      </w:r>
    </w:p>
    <w:p w:rsidR="00162FA0" w:rsidRDefault="005A5E7F" w:rsidP="00162FA0">
      <w:pPr>
        <w:autoSpaceDE w:val="0"/>
        <w:autoSpaceDN w:val="0"/>
        <w:adjustRightInd w:val="0"/>
        <w:spacing w:line="480" w:lineRule="auto"/>
        <w:ind w:left="360"/>
        <w:rPr>
          <w:rFonts w:eastAsiaTheme="minorHAnsi"/>
        </w:rPr>
      </w:pPr>
      <w:r>
        <w:rPr>
          <w:rFonts w:eastAsiaTheme="minorHAnsi"/>
        </w:rPr>
        <w:t>t</w:t>
      </w:r>
      <w:r w:rsidR="00162FA0">
        <w:rPr>
          <w:rFonts w:eastAsiaTheme="minorHAnsi"/>
        </w:rPr>
        <w:t>: year.</w:t>
      </w:r>
    </w:p>
    <w:p w:rsidR="00162FA0" w:rsidRDefault="00162FA0" w:rsidP="00162FA0">
      <w:pPr>
        <w:autoSpaceDE w:val="0"/>
        <w:autoSpaceDN w:val="0"/>
        <w:adjustRightInd w:val="0"/>
        <w:spacing w:line="480" w:lineRule="auto"/>
        <w:ind w:left="360"/>
        <w:rPr>
          <w:rFonts w:eastAsiaTheme="minorHAnsi"/>
        </w:rPr>
      </w:pPr>
    </w:p>
    <w:p w:rsidR="00653DB5" w:rsidRPr="00162FA0" w:rsidRDefault="0079082F" w:rsidP="00162FA0">
      <w:pPr>
        <w:pStyle w:val="ListParagraph"/>
        <w:numPr>
          <w:ilvl w:val="0"/>
          <w:numId w:val="6"/>
        </w:numPr>
        <w:autoSpaceDE w:val="0"/>
        <w:autoSpaceDN w:val="0"/>
        <w:adjustRightInd w:val="0"/>
        <w:spacing w:line="480" w:lineRule="auto"/>
        <w:rPr>
          <w:rFonts w:eastAsiaTheme="minorHAnsi"/>
        </w:rPr>
      </w:pPr>
      <w:r w:rsidRPr="00162FA0">
        <w:rPr>
          <w:rFonts w:eastAsiaTheme="minorHAnsi"/>
        </w:rPr>
        <w:t>CV</w:t>
      </w:r>
      <w:r w:rsidR="00172BCF" w:rsidRPr="00162FA0">
        <w:rPr>
          <w:rFonts w:eastAsiaTheme="minorHAnsi"/>
          <w:vertAlign w:val="subscript"/>
        </w:rPr>
        <w:t>IR</w:t>
      </w:r>
      <w:r w:rsidR="00172BCF" w:rsidRPr="00162FA0">
        <w:rPr>
          <w:rFonts w:eastAsiaTheme="minorHAnsi"/>
        </w:rPr>
        <w:t>:</w:t>
      </w:r>
    </w:p>
    <w:p w:rsidR="0079082F" w:rsidRDefault="0079082F" w:rsidP="0079082F">
      <w:pPr>
        <w:autoSpaceDE w:val="0"/>
        <w:autoSpaceDN w:val="0"/>
        <w:adjustRightInd w:val="0"/>
        <w:spacing w:line="480" w:lineRule="auto"/>
        <w:rPr>
          <w:rFonts w:eastAsiaTheme="minorHAnsi"/>
        </w:rPr>
      </w:pPr>
      <w:r>
        <w:t>The coefficient of variation of IR</w:t>
      </w:r>
      <w:r w:rsidR="00172BCF">
        <w:t>,</w:t>
      </w:r>
      <w:r w:rsidR="00172BCF">
        <w:rPr>
          <w:rFonts w:eastAsiaTheme="minorHAnsi"/>
        </w:rPr>
        <w:t xml:space="preserve"> which measures the price stability in the sho</w:t>
      </w:r>
      <w:r w:rsidR="00DB6F24">
        <w:rPr>
          <w:rFonts w:eastAsiaTheme="minorHAnsi"/>
        </w:rPr>
        <w:t>r</w:t>
      </w:r>
      <w:r w:rsidR="00172BCF">
        <w:rPr>
          <w:rFonts w:eastAsiaTheme="minorHAnsi"/>
        </w:rPr>
        <w:t>t run</w:t>
      </w:r>
      <w:r w:rsidR="00DB6F24">
        <w:rPr>
          <w:rFonts w:eastAsiaTheme="minorHAnsi"/>
        </w:rPr>
        <w:t>, we calculated by using this formula:</w:t>
      </w:r>
    </w:p>
    <w:p w:rsidR="00162FA0" w:rsidRDefault="00162FA0" w:rsidP="0079082F">
      <w:pPr>
        <w:autoSpaceDE w:val="0"/>
        <w:autoSpaceDN w:val="0"/>
        <w:adjustRightInd w:val="0"/>
        <w:spacing w:line="480" w:lineRule="auto"/>
        <w:rPr>
          <w:rFonts w:eastAsiaTheme="minorHAnsi"/>
        </w:rPr>
      </w:pPr>
    </w:p>
    <w:p w:rsidR="00DB6F24" w:rsidRPr="00162FA0" w:rsidRDefault="00DB6F24" w:rsidP="00162FA0">
      <w:pPr>
        <w:autoSpaceDE w:val="0"/>
        <w:autoSpaceDN w:val="0"/>
        <w:adjustRightInd w:val="0"/>
        <w:spacing w:line="480" w:lineRule="auto"/>
        <w:jc w:val="center"/>
        <w:rPr>
          <w:rFonts w:ascii="Cambria Math" w:eastAsiaTheme="minorHAnsi" w:hAnsi="Cambria Math"/>
          <w:i/>
          <w:iCs/>
        </w:rPr>
      </w:pPr>
      <w:r w:rsidRPr="00162FA0">
        <w:rPr>
          <w:rFonts w:ascii="Cambria Math" w:eastAsiaTheme="minorHAnsi" w:hAnsi="Cambria Math"/>
          <w:i/>
          <w:iCs/>
        </w:rPr>
        <w:t>CV</w:t>
      </w:r>
      <w:r w:rsidRPr="00162FA0">
        <w:rPr>
          <w:rFonts w:ascii="Cambria Math" w:eastAsiaTheme="minorHAnsi" w:hAnsi="Cambria Math"/>
          <w:i/>
          <w:iCs/>
          <w:vertAlign w:val="subscript"/>
        </w:rPr>
        <w:t xml:space="preserve">IR=  </w:t>
      </w:r>
      <w:r w:rsidRPr="00162FA0">
        <w:rPr>
          <w:rFonts w:ascii="Cambria Math" w:eastAsiaTheme="minorHAnsi" w:hAnsi="Cambria Math"/>
          <w:i/>
          <w:iCs/>
          <w:sz w:val="28"/>
          <w:szCs w:val="28"/>
        </w:rPr>
        <w:sym w:font="Symbol" w:char="F073"/>
      </w:r>
      <w:r w:rsidRPr="00162FA0">
        <w:rPr>
          <w:rFonts w:ascii="Cambria Math" w:eastAsiaTheme="minorHAnsi" w:hAnsi="Cambria Math"/>
          <w:i/>
          <w:iCs/>
          <w:vertAlign w:val="subscript"/>
        </w:rPr>
        <w:t>IR</w:t>
      </w:r>
      <w:r w:rsidR="00403DFA" w:rsidRPr="00162FA0">
        <w:rPr>
          <w:rFonts w:ascii="Cambria Math" w:eastAsiaTheme="minorHAnsi" w:hAnsi="Cambria Math"/>
          <w:i/>
          <w:iCs/>
          <w:vertAlign w:val="subscript"/>
        </w:rPr>
        <w:t xml:space="preserve"> </w:t>
      </w:r>
      <w:r w:rsidRPr="00162FA0">
        <w:rPr>
          <w:rFonts w:ascii="Cambria Math" w:eastAsiaTheme="minorHAnsi" w:hAnsi="Cambria Math"/>
          <w:i/>
          <w:iCs/>
        </w:rPr>
        <w:t>/</w:t>
      </w:r>
      <w:r w:rsidR="00403DFA" w:rsidRPr="00162FA0">
        <w:rPr>
          <w:rFonts w:ascii="Cambria Math" w:eastAsiaTheme="minorHAnsi" w:hAnsi="Cambria Math"/>
          <w:i/>
          <w:iCs/>
        </w:rPr>
        <w:t>MIR</w:t>
      </w:r>
    </w:p>
    <w:p w:rsidR="0079082F" w:rsidRPr="00172BCF" w:rsidRDefault="0079082F" w:rsidP="00172BCF">
      <w:pPr>
        <w:autoSpaceDE w:val="0"/>
        <w:autoSpaceDN w:val="0"/>
        <w:adjustRightInd w:val="0"/>
        <w:spacing w:line="480" w:lineRule="auto"/>
        <w:rPr>
          <w:rFonts w:eastAsiaTheme="minorHAnsi"/>
        </w:rPr>
      </w:pPr>
    </w:p>
    <w:p w:rsidR="00653DB5" w:rsidRDefault="00162FA0" w:rsidP="00653DB5">
      <w:pPr>
        <w:autoSpaceDE w:val="0"/>
        <w:autoSpaceDN w:val="0"/>
        <w:adjustRightInd w:val="0"/>
        <w:spacing w:line="480" w:lineRule="auto"/>
        <w:ind w:left="360"/>
        <w:rPr>
          <w:rFonts w:eastAsiaTheme="minorHAnsi"/>
        </w:rPr>
      </w:pPr>
      <w:r>
        <w:rPr>
          <w:rFonts w:eastAsiaTheme="minorHAnsi"/>
        </w:rPr>
        <w:t>MIR: mean of inflation rate.</w:t>
      </w:r>
    </w:p>
    <w:p w:rsidR="00162FA0" w:rsidRDefault="00162FA0" w:rsidP="00653DB5">
      <w:pPr>
        <w:autoSpaceDE w:val="0"/>
        <w:autoSpaceDN w:val="0"/>
        <w:adjustRightInd w:val="0"/>
        <w:spacing w:line="480" w:lineRule="auto"/>
        <w:ind w:left="360"/>
        <w:rPr>
          <w:rFonts w:eastAsiaTheme="minorHAnsi"/>
        </w:rPr>
      </w:pPr>
      <w:r w:rsidRPr="00162FA0">
        <w:rPr>
          <w:rFonts w:ascii="Cambria Math" w:eastAsiaTheme="minorHAnsi" w:hAnsi="Cambria Math"/>
          <w:i/>
          <w:iCs/>
          <w:sz w:val="28"/>
          <w:szCs w:val="28"/>
        </w:rPr>
        <w:sym w:font="Symbol" w:char="F073"/>
      </w:r>
      <w:r w:rsidRPr="00162FA0">
        <w:rPr>
          <w:rFonts w:ascii="Cambria Math" w:eastAsiaTheme="minorHAnsi" w:hAnsi="Cambria Math"/>
          <w:i/>
          <w:iCs/>
          <w:vertAlign w:val="subscript"/>
        </w:rPr>
        <w:t>IR</w:t>
      </w:r>
      <w:r>
        <w:rPr>
          <w:rFonts w:eastAsiaTheme="minorHAnsi"/>
        </w:rPr>
        <w:t>: standard deviation of inflation rate.</w:t>
      </w:r>
    </w:p>
    <w:p w:rsidR="00162FA0" w:rsidRDefault="00162FA0" w:rsidP="00162FA0">
      <w:pPr>
        <w:pStyle w:val="ListParagraph"/>
        <w:numPr>
          <w:ilvl w:val="0"/>
          <w:numId w:val="6"/>
        </w:numPr>
        <w:autoSpaceDE w:val="0"/>
        <w:autoSpaceDN w:val="0"/>
        <w:adjustRightInd w:val="0"/>
        <w:spacing w:line="480" w:lineRule="auto"/>
        <w:rPr>
          <w:rFonts w:eastAsiaTheme="minorHAnsi"/>
        </w:rPr>
      </w:pPr>
      <w:r w:rsidRPr="00162FA0">
        <w:rPr>
          <w:rFonts w:eastAsiaTheme="minorHAnsi"/>
        </w:rPr>
        <w:t>CV</w:t>
      </w:r>
      <w:r>
        <w:rPr>
          <w:rFonts w:eastAsiaTheme="minorHAnsi"/>
          <w:vertAlign w:val="subscript"/>
        </w:rPr>
        <w:t>AIR</w:t>
      </w:r>
      <w:r w:rsidRPr="00162FA0">
        <w:rPr>
          <w:rFonts w:eastAsiaTheme="minorHAnsi"/>
        </w:rPr>
        <w:t>:</w:t>
      </w:r>
    </w:p>
    <w:p w:rsidR="00162FA0" w:rsidRDefault="00162FA0" w:rsidP="00162FA0">
      <w:pPr>
        <w:autoSpaceDE w:val="0"/>
        <w:autoSpaceDN w:val="0"/>
        <w:adjustRightInd w:val="0"/>
        <w:spacing w:line="480" w:lineRule="auto"/>
        <w:rPr>
          <w:rFonts w:eastAsiaTheme="minorHAnsi"/>
        </w:rPr>
      </w:pPr>
      <w:r>
        <w:t>The coefficient of variation of AIR,</w:t>
      </w:r>
      <w:r w:rsidRPr="00162FA0">
        <w:rPr>
          <w:rFonts w:eastAsiaTheme="minorHAnsi"/>
        </w:rPr>
        <w:t xml:space="preserve"> which measures the price stability in the short run,</w:t>
      </w:r>
      <w:r>
        <w:rPr>
          <w:rFonts w:eastAsiaTheme="minorHAnsi"/>
        </w:rPr>
        <w:t xml:space="preserve"> but it reflects the goods and services prices in gold. </w:t>
      </w:r>
      <w:r w:rsidR="00BD7FCB" w:rsidRPr="00162FA0">
        <w:rPr>
          <w:rFonts w:eastAsiaTheme="minorHAnsi"/>
        </w:rPr>
        <w:t>We</w:t>
      </w:r>
      <w:r w:rsidRPr="00162FA0">
        <w:rPr>
          <w:rFonts w:eastAsiaTheme="minorHAnsi"/>
        </w:rPr>
        <w:t xml:space="preserve"> calculated by using this formula:</w:t>
      </w:r>
    </w:p>
    <w:p w:rsidR="000E07EE" w:rsidRDefault="000E07EE" w:rsidP="00162FA0">
      <w:pPr>
        <w:autoSpaceDE w:val="0"/>
        <w:autoSpaceDN w:val="0"/>
        <w:adjustRightInd w:val="0"/>
        <w:spacing w:line="480" w:lineRule="auto"/>
        <w:rPr>
          <w:rFonts w:eastAsiaTheme="minorHAnsi"/>
        </w:rPr>
      </w:pPr>
    </w:p>
    <w:p w:rsidR="00BD7FCB" w:rsidRDefault="00BD7FCB" w:rsidP="00BD7FCB">
      <w:pPr>
        <w:autoSpaceDE w:val="0"/>
        <w:autoSpaceDN w:val="0"/>
        <w:adjustRightInd w:val="0"/>
        <w:spacing w:line="480" w:lineRule="auto"/>
        <w:jc w:val="center"/>
        <w:rPr>
          <w:rFonts w:ascii="Cambria Math" w:eastAsiaTheme="minorHAnsi" w:hAnsi="Cambria Math"/>
          <w:i/>
          <w:iCs/>
        </w:rPr>
      </w:pPr>
      <w:r w:rsidRPr="00162FA0">
        <w:rPr>
          <w:rFonts w:ascii="Cambria Math" w:eastAsiaTheme="minorHAnsi" w:hAnsi="Cambria Math"/>
          <w:i/>
          <w:iCs/>
        </w:rPr>
        <w:lastRenderedPageBreak/>
        <w:t>CV</w:t>
      </w:r>
      <w:r>
        <w:rPr>
          <w:rFonts w:ascii="Cambria Math" w:eastAsiaTheme="minorHAnsi" w:hAnsi="Cambria Math"/>
          <w:i/>
          <w:iCs/>
          <w:vertAlign w:val="subscript"/>
        </w:rPr>
        <w:t>AIR</w:t>
      </w:r>
      <w:r w:rsidRPr="00162FA0">
        <w:rPr>
          <w:rFonts w:ascii="Cambria Math" w:eastAsiaTheme="minorHAnsi" w:hAnsi="Cambria Math"/>
          <w:i/>
          <w:iCs/>
          <w:vertAlign w:val="subscript"/>
        </w:rPr>
        <w:t xml:space="preserve">=  </w:t>
      </w:r>
      <w:r w:rsidRPr="00162FA0">
        <w:rPr>
          <w:rFonts w:ascii="Cambria Math" w:eastAsiaTheme="minorHAnsi" w:hAnsi="Cambria Math"/>
          <w:i/>
          <w:iCs/>
          <w:sz w:val="28"/>
          <w:szCs w:val="28"/>
        </w:rPr>
        <w:sym w:font="Symbol" w:char="F073"/>
      </w:r>
      <w:r>
        <w:rPr>
          <w:rFonts w:ascii="Cambria Math" w:eastAsiaTheme="minorHAnsi" w:hAnsi="Cambria Math"/>
          <w:i/>
          <w:iCs/>
          <w:vertAlign w:val="subscript"/>
        </w:rPr>
        <w:t>AIR</w:t>
      </w:r>
      <w:r w:rsidRPr="00162FA0">
        <w:rPr>
          <w:rFonts w:ascii="Cambria Math" w:eastAsiaTheme="minorHAnsi" w:hAnsi="Cambria Math"/>
          <w:i/>
          <w:iCs/>
          <w:vertAlign w:val="subscript"/>
        </w:rPr>
        <w:t xml:space="preserve"> </w:t>
      </w:r>
      <w:r w:rsidRPr="00162FA0">
        <w:rPr>
          <w:rFonts w:ascii="Cambria Math" w:eastAsiaTheme="minorHAnsi" w:hAnsi="Cambria Math"/>
          <w:i/>
          <w:iCs/>
        </w:rPr>
        <w:t>/M</w:t>
      </w:r>
      <w:r>
        <w:rPr>
          <w:rFonts w:ascii="Cambria Math" w:eastAsiaTheme="minorHAnsi" w:hAnsi="Cambria Math"/>
          <w:i/>
          <w:iCs/>
        </w:rPr>
        <w:t>A</w:t>
      </w:r>
      <w:r w:rsidRPr="00162FA0">
        <w:rPr>
          <w:rFonts w:ascii="Cambria Math" w:eastAsiaTheme="minorHAnsi" w:hAnsi="Cambria Math"/>
          <w:i/>
          <w:iCs/>
        </w:rPr>
        <w:t>IR</w:t>
      </w:r>
    </w:p>
    <w:p w:rsidR="000C075A" w:rsidRPr="00162FA0" w:rsidRDefault="000C075A" w:rsidP="000E07EE">
      <w:pPr>
        <w:autoSpaceDE w:val="0"/>
        <w:autoSpaceDN w:val="0"/>
        <w:adjustRightInd w:val="0"/>
        <w:spacing w:line="480" w:lineRule="auto"/>
        <w:rPr>
          <w:rFonts w:ascii="Cambria Math" w:eastAsiaTheme="minorHAnsi" w:hAnsi="Cambria Math"/>
          <w:i/>
          <w:iCs/>
        </w:rPr>
      </w:pPr>
    </w:p>
    <w:p w:rsidR="00DA6884" w:rsidRDefault="00DA6884" w:rsidP="00DA6884">
      <w:pPr>
        <w:autoSpaceDE w:val="0"/>
        <w:autoSpaceDN w:val="0"/>
        <w:adjustRightInd w:val="0"/>
        <w:spacing w:line="480" w:lineRule="auto"/>
        <w:ind w:left="360"/>
        <w:rPr>
          <w:rFonts w:eastAsiaTheme="minorHAnsi"/>
        </w:rPr>
      </w:pPr>
      <w:r>
        <w:rPr>
          <w:rFonts w:eastAsiaTheme="minorHAnsi"/>
        </w:rPr>
        <w:t>MAIR: mean of adjusted inflation rate.</w:t>
      </w:r>
    </w:p>
    <w:p w:rsidR="00162FA0" w:rsidRPr="00162FA0" w:rsidRDefault="00DA6884" w:rsidP="00CE54EE">
      <w:pPr>
        <w:autoSpaceDE w:val="0"/>
        <w:autoSpaceDN w:val="0"/>
        <w:adjustRightInd w:val="0"/>
        <w:spacing w:line="480" w:lineRule="auto"/>
        <w:ind w:left="360"/>
        <w:rPr>
          <w:rFonts w:eastAsiaTheme="minorHAnsi"/>
        </w:rPr>
      </w:pPr>
      <w:r w:rsidRPr="00162FA0">
        <w:rPr>
          <w:rFonts w:ascii="Cambria Math" w:eastAsiaTheme="minorHAnsi" w:hAnsi="Cambria Math"/>
          <w:i/>
          <w:iCs/>
          <w:sz w:val="28"/>
          <w:szCs w:val="28"/>
        </w:rPr>
        <w:sym w:font="Symbol" w:char="F073"/>
      </w:r>
      <w:r w:rsidRPr="00162FA0">
        <w:rPr>
          <w:rFonts w:ascii="Cambria Math" w:eastAsiaTheme="minorHAnsi" w:hAnsi="Cambria Math"/>
          <w:i/>
          <w:iCs/>
          <w:vertAlign w:val="subscript"/>
        </w:rPr>
        <w:t>IR</w:t>
      </w:r>
      <w:r>
        <w:rPr>
          <w:rFonts w:eastAsiaTheme="minorHAnsi"/>
        </w:rPr>
        <w:t>: standard deviation of adjusted inflation rate.</w:t>
      </w:r>
    </w:p>
    <w:p w:rsidR="00162FA0" w:rsidRDefault="00CE54EE" w:rsidP="00162FA0">
      <w:pPr>
        <w:pStyle w:val="ListParagraph"/>
        <w:numPr>
          <w:ilvl w:val="0"/>
          <w:numId w:val="6"/>
        </w:numPr>
        <w:autoSpaceDE w:val="0"/>
        <w:autoSpaceDN w:val="0"/>
        <w:adjustRightInd w:val="0"/>
        <w:spacing w:line="480" w:lineRule="auto"/>
        <w:rPr>
          <w:rFonts w:eastAsiaTheme="minorHAnsi"/>
        </w:rPr>
      </w:pPr>
      <w:r>
        <w:rPr>
          <w:rFonts w:eastAsiaTheme="minorHAnsi"/>
        </w:rPr>
        <w:t>CV</w:t>
      </w:r>
      <w:r>
        <w:rPr>
          <w:rFonts w:eastAsiaTheme="minorHAnsi"/>
          <w:vertAlign w:val="subscript"/>
        </w:rPr>
        <w:t>CPI</w:t>
      </w:r>
      <w:r>
        <w:rPr>
          <w:rFonts w:eastAsiaTheme="minorHAnsi"/>
        </w:rPr>
        <w:t>:</w:t>
      </w:r>
    </w:p>
    <w:p w:rsidR="00CE54EE" w:rsidRDefault="00CE54EE" w:rsidP="00CE54EE">
      <w:pPr>
        <w:autoSpaceDE w:val="0"/>
        <w:autoSpaceDN w:val="0"/>
        <w:adjustRightInd w:val="0"/>
        <w:spacing w:line="480" w:lineRule="auto"/>
        <w:rPr>
          <w:rFonts w:eastAsiaTheme="minorHAnsi"/>
        </w:rPr>
      </w:pPr>
      <w:r>
        <w:rPr>
          <w:rFonts w:eastAsiaTheme="minorHAnsi"/>
        </w:rPr>
        <w:t>The coefficient of variation of CPI, which is  a general indicator of price stability.</w:t>
      </w:r>
    </w:p>
    <w:p w:rsidR="00CE54EE" w:rsidRPr="00CE54EE" w:rsidRDefault="00CE54EE" w:rsidP="00CE54EE">
      <w:pPr>
        <w:autoSpaceDE w:val="0"/>
        <w:autoSpaceDN w:val="0"/>
        <w:adjustRightInd w:val="0"/>
        <w:spacing w:line="480" w:lineRule="auto"/>
        <w:rPr>
          <w:rFonts w:eastAsiaTheme="minorHAnsi"/>
        </w:rPr>
      </w:pPr>
      <w:r>
        <w:rPr>
          <w:rFonts w:eastAsiaTheme="minorHAnsi"/>
        </w:rPr>
        <w:t xml:space="preserve">We calculated by using this formula: </w:t>
      </w:r>
    </w:p>
    <w:p w:rsidR="0014354D" w:rsidRPr="00162FA0" w:rsidRDefault="0014354D" w:rsidP="0014354D">
      <w:pPr>
        <w:autoSpaceDE w:val="0"/>
        <w:autoSpaceDN w:val="0"/>
        <w:adjustRightInd w:val="0"/>
        <w:spacing w:line="480" w:lineRule="auto"/>
        <w:jc w:val="center"/>
        <w:rPr>
          <w:rFonts w:ascii="Cambria Math" w:eastAsiaTheme="minorHAnsi" w:hAnsi="Cambria Math"/>
          <w:i/>
          <w:iCs/>
        </w:rPr>
      </w:pPr>
      <w:r w:rsidRPr="00162FA0">
        <w:rPr>
          <w:rFonts w:ascii="Cambria Math" w:eastAsiaTheme="minorHAnsi" w:hAnsi="Cambria Math"/>
          <w:i/>
          <w:iCs/>
        </w:rPr>
        <w:t>CV</w:t>
      </w:r>
      <w:r>
        <w:rPr>
          <w:rFonts w:ascii="Cambria Math" w:eastAsiaTheme="minorHAnsi" w:hAnsi="Cambria Math"/>
          <w:i/>
          <w:iCs/>
          <w:vertAlign w:val="subscript"/>
        </w:rPr>
        <w:t>CPI</w:t>
      </w:r>
      <w:r w:rsidRPr="00162FA0">
        <w:rPr>
          <w:rFonts w:ascii="Cambria Math" w:eastAsiaTheme="minorHAnsi" w:hAnsi="Cambria Math"/>
          <w:i/>
          <w:iCs/>
          <w:vertAlign w:val="subscript"/>
        </w:rPr>
        <w:t xml:space="preserve">=  </w:t>
      </w:r>
      <w:r w:rsidRPr="00162FA0">
        <w:rPr>
          <w:rFonts w:ascii="Cambria Math" w:eastAsiaTheme="minorHAnsi" w:hAnsi="Cambria Math"/>
          <w:i/>
          <w:iCs/>
          <w:sz w:val="28"/>
          <w:szCs w:val="28"/>
        </w:rPr>
        <w:sym w:font="Symbol" w:char="F073"/>
      </w:r>
      <w:r>
        <w:rPr>
          <w:rFonts w:ascii="Cambria Math" w:eastAsiaTheme="minorHAnsi" w:hAnsi="Cambria Math"/>
          <w:i/>
          <w:iCs/>
          <w:vertAlign w:val="subscript"/>
        </w:rPr>
        <w:t>CPI</w:t>
      </w:r>
      <w:r w:rsidRPr="00162FA0">
        <w:rPr>
          <w:rFonts w:ascii="Cambria Math" w:eastAsiaTheme="minorHAnsi" w:hAnsi="Cambria Math"/>
          <w:i/>
          <w:iCs/>
          <w:vertAlign w:val="subscript"/>
        </w:rPr>
        <w:t xml:space="preserve"> </w:t>
      </w:r>
      <w:r w:rsidRPr="00162FA0">
        <w:rPr>
          <w:rFonts w:ascii="Cambria Math" w:eastAsiaTheme="minorHAnsi" w:hAnsi="Cambria Math"/>
          <w:i/>
          <w:iCs/>
        </w:rPr>
        <w:t>/</w:t>
      </w:r>
      <w:r w:rsidR="00870E28">
        <w:rPr>
          <w:rFonts w:ascii="Cambria Math" w:eastAsiaTheme="minorHAnsi" w:hAnsi="Cambria Math"/>
          <w:i/>
          <w:iCs/>
        </w:rPr>
        <w:t>MCPI</w:t>
      </w:r>
    </w:p>
    <w:p w:rsidR="00162FA0" w:rsidRPr="00653DB5" w:rsidRDefault="00162FA0" w:rsidP="00653DB5">
      <w:pPr>
        <w:autoSpaceDE w:val="0"/>
        <w:autoSpaceDN w:val="0"/>
        <w:adjustRightInd w:val="0"/>
        <w:spacing w:line="480" w:lineRule="auto"/>
        <w:ind w:left="360"/>
        <w:rPr>
          <w:rFonts w:eastAsiaTheme="minorHAnsi"/>
        </w:rPr>
      </w:pPr>
    </w:p>
    <w:p w:rsidR="00870E28" w:rsidRPr="00870E28" w:rsidRDefault="00870E28" w:rsidP="00870E28">
      <w:pPr>
        <w:pStyle w:val="ListParagraph"/>
        <w:numPr>
          <w:ilvl w:val="0"/>
          <w:numId w:val="6"/>
        </w:numPr>
        <w:autoSpaceDE w:val="0"/>
        <w:autoSpaceDN w:val="0"/>
        <w:adjustRightInd w:val="0"/>
        <w:spacing w:line="480" w:lineRule="auto"/>
        <w:rPr>
          <w:rFonts w:eastAsiaTheme="minorHAnsi"/>
        </w:rPr>
      </w:pPr>
      <w:r w:rsidRPr="00870E28">
        <w:rPr>
          <w:rFonts w:eastAsiaTheme="minorHAnsi"/>
        </w:rPr>
        <w:t>CV</w:t>
      </w:r>
      <w:r>
        <w:rPr>
          <w:rFonts w:eastAsiaTheme="minorHAnsi"/>
          <w:vertAlign w:val="subscript"/>
        </w:rPr>
        <w:t>AC</w:t>
      </w:r>
      <w:r w:rsidRPr="00870E28">
        <w:rPr>
          <w:rFonts w:eastAsiaTheme="minorHAnsi"/>
          <w:vertAlign w:val="subscript"/>
        </w:rPr>
        <w:t>PI</w:t>
      </w:r>
      <w:r w:rsidRPr="00870E28">
        <w:rPr>
          <w:rFonts w:eastAsiaTheme="minorHAnsi"/>
        </w:rPr>
        <w:t>:</w:t>
      </w:r>
    </w:p>
    <w:p w:rsidR="00870E28" w:rsidRDefault="00870E28" w:rsidP="00870E28">
      <w:pPr>
        <w:autoSpaceDE w:val="0"/>
        <w:autoSpaceDN w:val="0"/>
        <w:adjustRightInd w:val="0"/>
        <w:spacing w:line="480" w:lineRule="auto"/>
        <w:rPr>
          <w:rFonts w:eastAsiaTheme="minorHAnsi"/>
        </w:rPr>
      </w:pPr>
      <w:r>
        <w:rPr>
          <w:rFonts w:eastAsiaTheme="minorHAnsi"/>
        </w:rPr>
        <w:t>The coefficient of variation of ACPI, which is  a general indicator of price stability, but it reflects the goods and services prices in gold.</w:t>
      </w:r>
    </w:p>
    <w:p w:rsidR="00870E28" w:rsidRPr="00CE54EE" w:rsidRDefault="00870E28" w:rsidP="00870E28">
      <w:pPr>
        <w:autoSpaceDE w:val="0"/>
        <w:autoSpaceDN w:val="0"/>
        <w:adjustRightInd w:val="0"/>
        <w:spacing w:line="480" w:lineRule="auto"/>
        <w:rPr>
          <w:rFonts w:eastAsiaTheme="minorHAnsi"/>
        </w:rPr>
      </w:pPr>
      <w:r>
        <w:rPr>
          <w:rFonts w:eastAsiaTheme="minorHAnsi"/>
        </w:rPr>
        <w:t xml:space="preserve">We calculated by using this formula: </w:t>
      </w:r>
    </w:p>
    <w:p w:rsidR="00870E28" w:rsidRPr="00162FA0" w:rsidRDefault="00870E28" w:rsidP="00870E28">
      <w:pPr>
        <w:autoSpaceDE w:val="0"/>
        <w:autoSpaceDN w:val="0"/>
        <w:adjustRightInd w:val="0"/>
        <w:spacing w:line="480" w:lineRule="auto"/>
        <w:jc w:val="center"/>
        <w:rPr>
          <w:rFonts w:ascii="Cambria Math" w:eastAsiaTheme="minorHAnsi" w:hAnsi="Cambria Math"/>
          <w:i/>
          <w:iCs/>
        </w:rPr>
      </w:pPr>
      <w:r w:rsidRPr="00162FA0">
        <w:rPr>
          <w:rFonts w:ascii="Cambria Math" w:eastAsiaTheme="minorHAnsi" w:hAnsi="Cambria Math"/>
          <w:i/>
          <w:iCs/>
        </w:rPr>
        <w:t>CV</w:t>
      </w:r>
      <w:r>
        <w:rPr>
          <w:rFonts w:ascii="Cambria Math" w:eastAsiaTheme="minorHAnsi" w:hAnsi="Cambria Math"/>
          <w:i/>
          <w:iCs/>
          <w:vertAlign w:val="subscript"/>
        </w:rPr>
        <w:t>ACPI</w:t>
      </w:r>
      <w:r w:rsidRPr="00162FA0">
        <w:rPr>
          <w:rFonts w:ascii="Cambria Math" w:eastAsiaTheme="minorHAnsi" w:hAnsi="Cambria Math"/>
          <w:i/>
          <w:iCs/>
          <w:vertAlign w:val="subscript"/>
        </w:rPr>
        <w:t xml:space="preserve">=  </w:t>
      </w:r>
      <w:r w:rsidRPr="00162FA0">
        <w:rPr>
          <w:rFonts w:ascii="Cambria Math" w:eastAsiaTheme="minorHAnsi" w:hAnsi="Cambria Math"/>
          <w:i/>
          <w:iCs/>
          <w:sz w:val="28"/>
          <w:szCs w:val="28"/>
        </w:rPr>
        <w:sym w:font="Symbol" w:char="F073"/>
      </w:r>
      <w:r>
        <w:rPr>
          <w:rFonts w:ascii="Cambria Math" w:eastAsiaTheme="minorHAnsi" w:hAnsi="Cambria Math"/>
          <w:i/>
          <w:iCs/>
          <w:vertAlign w:val="subscript"/>
        </w:rPr>
        <w:t>ACPI</w:t>
      </w:r>
      <w:r w:rsidRPr="00162FA0">
        <w:rPr>
          <w:rFonts w:ascii="Cambria Math" w:eastAsiaTheme="minorHAnsi" w:hAnsi="Cambria Math"/>
          <w:i/>
          <w:iCs/>
          <w:vertAlign w:val="subscript"/>
        </w:rPr>
        <w:t xml:space="preserve"> </w:t>
      </w:r>
      <w:r w:rsidRPr="00162FA0">
        <w:rPr>
          <w:rFonts w:ascii="Cambria Math" w:eastAsiaTheme="minorHAnsi" w:hAnsi="Cambria Math"/>
          <w:i/>
          <w:iCs/>
        </w:rPr>
        <w:t>/</w:t>
      </w:r>
      <w:r>
        <w:rPr>
          <w:rFonts w:ascii="Cambria Math" w:eastAsiaTheme="minorHAnsi" w:hAnsi="Cambria Math"/>
          <w:i/>
          <w:iCs/>
        </w:rPr>
        <w:t>MACPI</w:t>
      </w:r>
    </w:p>
    <w:p w:rsidR="00653DB5" w:rsidRPr="0016427E" w:rsidRDefault="00653DB5" w:rsidP="00870E28">
      <w:pPr>
        <w:pStyle w:val="ListParagraph"/>
        <w:autoSpaceDE w:val="0"/>
        <w:autoSpaceDN w:val="0"/>
        <w:adjustRightInd w:val="0"/>
        <w:spacing w:line="480" w:lineRule="auto"/>
        <w:rPr>
          <w:rFonts w:eastAsiaTheme="minorHAnsi"/>
        </w:rPr>
      </w:pPr>
    </w:p>
    <w:p w:rsidR="000C075A" w:rsidRDefault="000C075A" w:rsidP="001D2567">
      <w:pPr>
        <w:spacing w:after="200" w:line="276" w:lineRule="auto"/>
        <w:rPr>
          <w:rFonts w:eastAsiaTheme="minorHAnsi"/>
        </w:rPr>
      </w:pPr>
    </w:p>
    <w:p w:rsidR="00C5048D" w:rsidRPr="00C5048D" w:rsidRDefault="00C5048D" w:rsidP="001D2567">
      <w:pPr>
        <w:spacing w:after="200" w:line="276" w:lineRule="auto"/>
        <w:rPr>
          <w:rFonts w:eastAsiaTheme="minorHAnsi"/>
          <w:b/>
          <w:bCs/>
        </w:rPr>
      </w:pPr>
      <w:r w:rsidRPr="00C5048D">
        <w:rPr>
          <w:rFonts w:eastAsiaTheme="minorHAnsi"/>
          <w:b/>
          <w:bCs/>
        </w:rPr>
        <w:br w:type="page"/>
      </w:r>
    </w:p>
    <w:p w:rsidR="00340218" w:rsidRDefault="00340218" w:rsidP="00340218">
      <w:pPr>
        <w:jc w:val="center"/>
        <w:rPr>
          <w:b/>
          <w:bCs/>
        </w:rPr>
      </w:pPr>
      <w:r w:rsidRPr="00380BED">
        <w:rPr>
          <w:b/>
          <w:bCs/>
        </w:rPr>
        <w:lastRenderedPageBreak/>
        <w:t>Methodology</w:t>
      </w:r>
    </w:p>
    <w:p w:rsidR="00340218" w:rsidRDefault="00340218" w:rsidP="00340218">
      <w:pPr>
        <w:rPr>
          <w:b/>
          <w:bCs/>
        </w:rPr>
      </w:pPr>
    </w:p>
    <w:p w:rsidR="00340218" w:rsidRDefault="00340218" w:rsidP="00340218">
      <w:pPr>
        <w:rPr>
          <w:b/>
          <w:bCs/>
        </w:rPr>
      </w:pPr>
    </w:p>
    <w:p w:rsidR="00CC5B45" w:rsidRDefault="00340218" w:rsidP="00827105">
      <w:pPr>
        <w:spacing w:line="480" w:lineRule="auto"/>
        <w:ind w:firstLine="720"/>
      </w:pPr>
      <w:r>
        <w:t>In this research yearly CPI data</w:t>
      </w:r>
      <w:r w:rsidR="00CC5B45">
        <w:t xml:space="preserve"> and yearly average exchange rate between gold and the currency of  the studied country  will be used to calculate the MIR, MAIR, CVIR, CVAIR, CVCPI, and CVACPI in all countries.</w:t>
      </w:r>
      <w:r>
        <w:t xml:space="preserve"> </w:t>
      </w:r>
    </w:p>
    <w:p w:rsidR="00BE38B7" w:rsidRDefault="00CC5B45" w:rsidP="00BE38B7">
      <w:pPr>
        <w:spacing w:line="480" w:lineRule="auto"/>
      </w:pPr>
      <w:r>
        <w:t>T</w:t>
      </w:r>
      <w:r w:rsidR="00564FC2">
        <w:t>he CPI</w:t>
      </w:r>
      <w:r>
        <w:t xml:space="preserve"> data collected </w:t>
      </w:r>
      <w:r w:rsidR="00A52E8A">
        <w:t>from various resources available for public like</w:t>
      </w:r>
      <w:r w:rsidR="00564FC2">
        <w:t xml:space="preserve"> the united state department of labor website </w:t>
      </w:r>
      <w:r w:rsidR="00564FC2" w:rsidRPr="00564FC2">
        <w:t>www.bls.gov</w:t>
      </w:r>
      <w:r w:rsidR="00564FC2">
        <w:t xml:space="preserve">, </w:t>
      </w:r>
      <w:r w:rsidR="00BE38B7">
        <w:t>and</w:t>
      </w:r>
      <w:r w:rsidR="00A52E8A" w:rsidRPr="00BE38B7">
        <w:t xml:space="preserve"> </w:t>
      </w:r>
      <w:hyperlink r:id="rId47" w:history="1">
        <w:r w:rsidR="00FE2968" w:rsidRPr="00BE38B7">
          <w:rPr>
            <w:rStyle w:val="Hyperlink"/>
            <w:color w:val="auto"/>
            <w:u w:val="none"/>
          </w:rPr>
          <w:t>rateinflation.com</w:t>
        </w:r>
      </w:hyperlink>
      <w:r w:rsidR="00564FC2">
        <w:t xml:space="preserve"> website, the exchange rate and the price of gold</w:t>
      </w:r>
      <w:r w:rsidR="00A52E8A">
        <w:t xml:space="preserve"> </w:t>
      </w:r>
      <w:r w:rsidR="00625CB3">
        <w:t xml:space="preserve">data </w:t>
      </w:r>
      <w:r w:rsidR="00BE38B7">
        <w:t>collected from the goldprice.org</w:t>
      </w:r>
      <w:r w:rsidR="00DC3073">
        <w:t xml:space="preserve"> </w:t>
      </w:r>
      <w:r w:rsidR="00BE38B7">
        <w:t xml:space="preserve">and the </w:t>
      </w:r>
      <w:bookmarkStart w:id="0" w:name="OLE_LINK3"/>
      <w:bookmarkStart w:id="1" w:name="OLE_LINK4"/>
      <w:r w:rsidR="0005027B" w:rsidRPr="0005027B">
        <w:t>fx.sauder.ubc.ca</w:t>
      </w:r>
      <w:r w:rsidR="00BE38B7">
        <w:t xml:space="preserve"> websites.</w:t>
      </w:r>
      <w:bookmarkEnd w:id="0"/>
      <w:bookmarkEnd w:id="1"/>
    </w:p>
    <w:p w:rsidR="00931BF5" w:rsidRDefault="00BE38B7" w:rsidP="002B3430">
      <w:pPr>
        <w:spacing w:line="480" w:lineRule="auto"/>
      </w:pPr>
      <w:r>
        <w:t>All yearly data collected about these countries (USA, UK, Japan, and Australia)</w:t>
      </w:r>
      <w:r w:rsidR="00DF48B5">
        <w:t xml:space="preserve"> from 1971 to 2009, so this research contains 39 yearly observation</w:t>
      </w:r>
      <w:r w:rsidR="008F5A62">
        <w:t>s</w:t>
      </w:r>
      <w:r w:rsidR="00DF48B5">
        <w:t xml:space="preserve"> for each variable.</w:t>
      </w:r>
    </w:p>
    <w:p w:rsidR="002B3430" w:rsidRDefault="002B3430" w:rsidP="002B3430">
      <w:pPr>
        <w:autoSpaceDE w:val="0"/>
        <w:autoSpaceDN w:val="0"/>
        <w:adjustRightInd w:val="0"/>
        <w:spacing w:line="480" w:lineRule="auto"/>
      </w:pPr>
      <w:r>
        <w:t>The variables of this study are:</w:t>
      </w:r>
    </w:p>
    <w:p w:rsidR="002B3430" w:rsidRDefault="002B3430" w:rsidP="002B3430">
      <w:pPr>
        <w:pStyle w:val="ListParagraph"/>
        <w:numPr>
          <w:ilvl w:val="0"/>
          <w:numId w:val="1"/>
        </w:numPr>
        <w:autoSpaceDE w:val="0"/>
        <w:autoSpaceDN w:val="0"/>
        <w:adjustRightInd w:val="0"/>
        <w:spacing w:line="480" w:lineRule="auto"/>
      </w:pPr>
      <w:r>
        <w:t xml:space="preserve"> The consumer price index (CPI) in the USA.</w:t>
      </w:r>
    </w:p>
    <w:p w:rsidR="002B3430" w:rsidRDefault="002B3430" w:rsidP="002B3430">
      <w:pPr>
        <w:pStyle w:val="ListParagraph"/>
        <w:numPr>
          <w:ilvl w:val="0"/>
          <w:numId w:val="1"/>
        </w:numPr>
        <w:autoSpaceDE w:val="0"/>
        <w:autoSpaceDN w:val="0"/>
        <w:adjustRightInd w:val="0"/>
        <w:spacing w:line="480" w:lineRule="auto"/>
      </w:pPr>
      <w:r>
        <w:t>The adjusted consumer price index for gold (ACPI) in the USA.</w:t>
      </w:r>
    </w:p>
    <w:p w:rsidR="002B3430" w:rsidRDefault="002B3430" w:rsidP="002B3430">
      <w:pPr>
        <w:pStyle w:val="ListParagraph"/>
        <w:numPr>
          <w:ilvl w:val="0"/>
          <w:numId w:val="1"/>
        </w:numPr>
        <w:autoSpaceDE w:val="0"/>
        <w:autoSpaceDN w:val="0"/>
        <w:adjustRightInd w:val="0"/>
        <w:spacing w:line="480" w:lineRule="auto"/>
      </w:pPr>
      <w:r>
        <w:t>The inflation rate (IR) in the USA.</w:t>
      </w:r>
    </w:p>
    <w:p w:rsidR="002B3430" w:rsidRDefault="002B3430" w:rsidP="002B3430">
      <w:pPr>
        <w:pStyle w:val="ListParagraph"/>
        <w:numPr>
          <w:ilvl w:val="0"/>
          <w:numId w:val="1"/>
        </w:numPr>
        <w:autoSpaceDE w:val="0"/>
        <w:autoSpaceDN w:val="0"/>
        <w:adjustRightInd w:val="0"/>
        <w:spacing w:line="480" w:lineRule="auto"/>
      </w:pPr>
      <w:r>
        <w:t>The adjusted inflation rate for gold (AIR) in the USA.</w:t>
      </w:r>
    </w:p>
    <w:p w:rsidR="002B3430" w:rsidRDefault="002B3430" w:rsidP="002B3430">
      <w:pPr>
        <w:pStyle w:val="ListParagraph"/>
        <w:numPr>
          <w:ilvl w:val="0"/>
          <w:numId w:val="1"/>
        </w:numPr>
        <w:autoSpaceDE w:val="0"/>
        <w:autoSpaceDN w:val="0"/>
        <w:adjustRightInd w:val="0"/>
        <w:spacing w:line="480" w:lineRule="auto"/>
      </w:pPr>
      <w:r>
        <w:t>The consumer price index (CPI) in the UK.</w:t>
      </w:r>
    </w:p>
    <w:p w:rsidR="002B3430" w:rsidRDefault="002B3430" w:rsidP="002B3430">
      <w:pPr>
        <w:pStyle w:val="ListParagraph"/>
        <w:numPr>
          <w:ilvl w:val="0"/>
          <w:numId w:val="1"/>
        </w:numPr>
        <w:autoSpaceDE w:val="0"/>
        <w:autoSpaceDN w:val="0"/>
        <w:adjustRightInd w:val="0"/>
        <w:spacing w:line="480" w:lineRule="auto"/>
      </w:pPr>
      <w:r>
        <w:t>The adjusted consumer price index for gold (ACPI) in the UK.</w:t>
      </w:r>
    </w:p>
    <w:p w:rsidR="002B3430" w:rsidRDefault="002B3430" w:rsidP="002B3430">
      <w:pPr>
        <w:pStyle w:val="ListParagraph"/>
        <w:numPr>
          <w:ilvl w:val="0"/>
          <w:numId w:val="1"/>
        </w:numPr>
        <w:autoSpaceDE w:val="0"/>
        <w:autoSpaceDN w:val="0"/>
        <w:adjustRightInd w:val="0"/>
        <w:spacing w:line="480" w:lineRule="auto"/>
      </w:pPr>
      <w:r>
        <w:t>The inflation rate (IR) in the UK.</w:t>
      </w:r>
    </w:p>
    <w:p w:rsidR="002B3430" w:rsidRDefault="002B3430" w:rsidP="002B3430">
      <w:pPr>
        <w:pStyle w:val="ListParagraph"/>
        <w:numPr>
          <w:ilvl w:val="0"/>
          <w:numId w:val="1"/>
        </w:numPr>
        <w:autoSpaceDE w:val="0"/>
        <w:autoSpaceDN w:val="0"/>
        <w:adjustRightInd w:val="0"/>
        <w:spacing w:line="480" w:lineRule="auto"/>
      </w:pPr>
      <w:r>
        <w:t>The adjusted inflation rate for gold (AIR) in the UK.</w:t>
      </w:r>
    </w:p>
    <w:p w:rsidR="002B3430" w:rsidRDefault="002B3430" w:rsidP="002B3430">
      <w:pPr>
        <w:pStyle w:val="ListParagraph"/>
        <w:numPr>
          <w:ilvl w:val="0"/>
          <w:numId w:val="1"/>
        </w:numPr>
        <w:autoSpaceDE w:val="0"/>
        <w:autoSpaceDN w:val="0"/>
        <w:adjustRightInd w:val="0"/>
        <w:spacing w:line="480" w:lineRule="auto"/>
      </w:pPr>
      <w:r>
        <w:t>The consumer price index (CPI) in the Japan.</w:t>
      </w:r>
    </w:p>
    <w:p w:rsidR="002B3430" w:rsidRDefault="002B3430" w:rsidP="002B3430">
      <w:pPr>
        <w:pStyle w:val="ListParagraph"/>
        <w:numPr>
          <w:ilvl w:val="0"/>
          <w:numId w:val="1"/>
        </w:numPr>
        <w:autoSpaceDE w:val="0"/>
        <w:autoSpaceDN w:val="0"/>
        <w:adjustRightInd w:val="0"/>
        <w:spacing w:line="480" w:lineRule="auto"/>
      </w:pPr>
      <w:r>
        <w:t>The adjusted consumer price index for gold (ACPI) in the Japan.</w:t>
      </w:r>
    </w:p>
    <w:p w:rsidR="002B3430" w:rsidRDefault="002B3430" w:rsidP="002B3430">
      <w:pPr>
        <w:pStyle w:val="ListParagraph"/>
        <w:numPr>
          <w:ilvl w:val="0"/>
          <w:numId w:val="1"/>
        </w:numPr>
        <w:autoSpaceDE w:val="0"/>
        <w:autoSpaceDN w:val="0"/>
        <w:adjustRightInd w:val="0"/>
        <w:spacing w:line="480" w:lineRule="auto"/>
      </w:pPr>
      <w:r>
        <w:t>The inflation rate (IR) in the Japan.</w:t>
      </w:r>
    </w:p>
    <w:p w:rsidR="002B3430" w:rsidRDefault="002B3430" w:rsidP="002B3430">
      <w:pPr>
        <w:pStyle w:val="ListParagraph"/>
        <w:numPr>
          <w:ilvl w:val="0"/>
          <w:numId w:val="1"/>
        </w:numPr>
        <w:autoSpaceDE w:val="0"/>
        <w:autoSpaceDN w:val="0"/>
        <w:adjustRightInd w:val="0"/>
        <w:spacing w:line="480" w:lineRule="auto"/>
      </w:pPr>
      <w:r>
        <w:t>The adjusted inflation rate for gold (AIR) in the Japan.</w:t>
      </w:r>
    </w:p>
    <w:p w:rsidR="002B3430" w:rsidRDefault="002B3430" w:rsidP="002B3430">
      <w:pPr>
        <w:pStyle w:val="ListParagraph"/>
        <w:numPr>
          <w:ilvl w:val="0"/>
          <w:numId w:val="1"/>
        </w:numPr>
        <w:autoSpaceDE w:val="0"/>
        <w:autoSpaceDN w:val="0"/>
        <w:adjustRightInd w:val="0"/>
        <w:spacing w:line="480" w:lineRule="auto"/>
      </w:pPr>
      <w:r>
        <w:t>The consumer price index (CPI) in the Australia.</w:t>
      </w:r>
    </w:p>
    <w:p w:rsidR="002B3430" w:rsidRDefault="002B3430" w:rsidP="002B3430">
      <w:pPr>
        <w:pStyle w:val="ListParagraph"/>
        <w:numPr>
          <w:ilvl w:val="0"/>
          <w:numId w:val="1"/>
        </w:numPr>
        <w:autoSpaceDE w:val="0"/>
        <w:autoSpaceDN w:val="0"/>
        <w:adjustRightInd w:val="0"/>
        <w:spacing w:line="480" w:lineRule="auto"/>
      </w:pPr>
      <w:r>
        <w:lastRenderedPageBreak/>
        <w:t>The adjusted consumer price index for gold (ACPI) in the Australia.</w:t>
      </w:r>
    </w:p>
    <w:p w:rsidR="002B3430" w:rsidRDefault="002B3430" w:rsidP="002B3430">
      <w:pPr>
        <w:pStyle w:val="ListParagraph"/>
        <w:numPr>
          <w:ilvl w:val="0"/>
          <w:numId w:val="1"/>
        </w:numPr>
        <w:autoSpaceDE w:val="0"/>
        <w:autoSpaceDN w:val="0"/>
        <w:adjustRightInd w:val="0"/>
        <w:spacing w:line="480" w:lineRule="auto"/>
      </w:pPr>
      <w:r>
        <w:t>The inflation rate (IR) in the Australia.</w:t>
      </w:r>
    </w:p>
    <w:p w:rsidR="002B3430" w:rsidRDefault="002B3430" w:rsidP="002B3430">
      <w:pPr>
        <w:pStyle w:val="ListParagraph"/>
        <w:numPr>
          <w:ilvl w:val="0"/>
          <w:numId w:val="1"/>
        </w:numPr>
        <w:autoSpaceDE w:val="0"/>
        <w:autoSpaceDN w:val="0"/>
        <w:adjustRightInd w:val="0"/>
        <w:spacing w:line="480" w:lineRule="auto"/>
      </w:pPr>
      <w:r>
        <w:t>The adjusted inflation rate for gold (AIR) in the Australia.</w:t>
      </w:r>
    </w:p>
    <w:p w:rsidR="002B3430" w:rsidRDefault="002B3430" w:rsidP="002B3430">
      <w:pPr>
        <w:spacing w:line="480" w:lineRule="auto"/>
      </w:pPr>
    </w:p>
    <w:p w:rsidR="00270EA0" w:rsidRDefault="00270EA0" w:rsidP="002B3430">
      <w:pPr>
        <w:spacing w:line="480" w:lineRule="auto"/>
        <w:rPr>
          <w:b/>
          <w:bCs/>
        </w:rPr>
      </w:pPr>
      <w:r w:rsidRPr="00270EA0">
        <w:rPr>
          <w:b/>
          <w:bCs/>
        </w:rPr>
        <w:t>Analysis tools:</w:t>
      </w:r>
    </w:p>
    <w:p w:rsidR="00270EA0" w:rsidRDefault="00680A53" w:rsidP="00270EA0">
      <w:pPr>
        <w:autoSpaceDE w:val="0"/>
        <w:autoSpaceDN w:val="0"/>
        <w:adjustRightInd w:val="0"/>
        <w:spacing w:line="480" w:lineRule="auto"/>
        <w:rPr>
          <w:rFonts w:eastAsiaTheme="minorHAnsi"/>
        </w:rPr>
      </w:pPr>
      <w:r>
        <w:rPr>
          <w:rFonts w:eastAsiaTheme="minorHAnsi"/>
        </w:rPr>
        <w:t>This research used these six indicators</w:t>
      </w:r>
      <w:r w:rsidR="00270EA0">
        <w:rPr>
          <w:rFonts w:eastAsiaTheme="minorHAnsi"/>
        </w:rPr>
        <w:t xml:space="preserve"> in every country (USA, UK, Japan, Australia) to measure the price stability:</w:t>
      </w:r>
    </w:p>
    <w:p w:rsidR="00270EA0" w:rsidRDefault="00270EA0" w:rsidP="00270EA0">
      <w:pPr>
        <w:pStyle w:val="ListParagraph"/>
        <w:numPr>
          <w:ilvl w:val="0"/>
          <w:numId w:val="15"/>
        </w:numPr>
        <w:autoSpaceDE w:val="0"/>
        <w:autoSpaceDN w:val="0"/>
        <w:adjustRightInd w:val="0"/>
        <w:spacing w:line="480" w:lineRule="auto"/>
        <w:rPr>
          <w:rFonts w:eastAsiaTheme="minorHAnsi"/>
        </w:rPr>
      </w:pPr>
      <w:r>
        <w:rPr>
          <w:rFonts w:eastAsiaTheme="minorHAnsi"/>
        </w:rPr>
        <w:t>MIR:</w:t>
      </w:r>
    </w:p>
    <w:p w:rsidR="00270EA0" w:rsidRDefault="00270EA0" w:rsidP="00270EA0">
      <w:pPr>
        <w:autoSpaceDE w:val="0"/>
        <w:autoSpaceDN w:val="0"/>
        <w:adjustRightInd w:val="0"/>
        <w:spacing w:line="480" w:lineRule="auto"/>
        <w:ind w:left="360"/>
        <w:rPr>
          <w:rFonts w:eastAsiaTheme="minorHAnsi"/>
        </w:rPr>
      </w:pPr>
      <w:r>
        <w:rPr>
          <w:rFonts w:eastAsiaTheme="minorHAnsi"/>
        </w:rPr>
        <w:t xml:space="preserve">The mean of inflation rate </w:t>
      </w:r>
      <w:r w:rsidRPr="00653DB5">
        <w:rPr>
          <w:rFonts w:eastAsiaTheme="minorHAnsi"/>
        </w:rPr>
        <w:t>which measure</w:t>
      </w:r>
      <w:r>
        <w:rPr>
          <w:rFonts w:eastAsiaTheme="minorHAnsi"/>
        </w:rPr>
        <w:t>s</w:t>
      </w:r>
      <w:r w:rsidRPr="00653DB5">
        <w:rPr>
          <w:rFonts w:eastAsiaTheme="minorHAnsi"/>
        </w:rPr>
        <w:t xml:space="preserve"> the price stability in the long run, we calculated by using this formula:</w:t>
      </w:r>
    </w:p>
    <w:p w:rsidR="00270EA0" w:rsidRDefault="00270EA0" w:rsidP="00270EA0">
      <w:pPr>
        <w:pStyle w:val="NormalWeb"/>
        <w:spacing w:line="480" w:lineRule="auto"/>
        <w:ind w:left="720"/>
        <w:rPr>
          <w:rFonts w:asciiTheme="majorBidi" w:hAnsiTheme="majorBidi" w:cstheme="majorBidi"/>
        </w:rPr>
      </w:pPr>
      <m:oMathPara>
        <m:oMath>
          <m:r>
            <w:rPr>
              <w:rFonts w:ascii="Cambria Math" w:hAnsi="Cambria Math" w:cstheme="majorBidi"/>
            </w:rPr>
            <m:t>MIR=</m:t>
          </m:r>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 xml:space="preserve">N </m:t>
              </m:r>
            </m:den>
          </m:f>
          <m:nary>
            <m:naryPr>
              <m:chr m:val="∑"/>
              <m:limLoc m:val="undOvr"/>
              <m:ctrlPr>
                <w:rPr>
                  <w:rFonts w:ascii="Cambria Math" w:hAnsi="Cambria Math" w:cstheme="majorBidi"/>
                  <w:i/>
                </w:rPr>
              </m:ctrlPr>
            </m:naryPr>
            <m:sub>
              <m:r>
                <w:rPr>
                  <w:rFonts w:ascii="Cambria Math" w:hAnsi="Cambria Math" w:cstheme="majorBidi"/>
                </w:rPr>
                <m:t>t=1</m:t>
              </m:r>
            </m:sub>
            <m:sup>
              <m:r>
                <w:rPr>
                  <w:rFonts w:ascii="Cambria Math" w:hAnsi="Cambria Math" w:cstheme="majorBidi"/>
                </w:rPr>
                <m:t>N</m:t>
              </m:r>
            </m:sup>
            <m:e>
              <m:r>
                <w:rPr>
                  <w:rFonts w:ascii="Cambria Math" w:hAnsi="Cambria Math" w:cstheme="majorBidi"/>
                </w:rPr>
                <m:t>IR</m:t>
              </m:r>
            </m:e>
          </m:nary>
        </m:oMath>
      </m:oMathPara>
    </w:p>
    <w:p w:rsidR="00270EA0" w:rsidRDefault="00270EA0" w:rsidP="00270EA0">
      <w:pPr>
        <w:autoSpaceDE w:val="0"/>
        <w:autoSpaceDN w:val="0"/>
        <w:adjustRightInd w:val="0"/>
        <w:spacing w:line="480" w:lineRule="auto"/>
        <w:rPr>
          <w:rFonts w:eastAsiaTheme="minorHAnsi"/>
        </w:rPr>
      </w:pPr>
      <w:r>
        <w:rPr>
          <w:rFonts w:eastAsiaTheme="minorHAnsi"/>
        </w:rPr>
        <w:t>IR: inflation rate.</w:t>
      </w:r>
    </w:p>
    <w:p w:rsidR="00270EA0" w:rsidRDefault="00270EA0" w:rsidP="00270EA0">
      <w:pPr>
        <w:autoSpaceDE w:val="0"/>
        <w:autoSpaceDN w:val="0"/>
        <w:adjustRightInd w:val="0"/>
        <w:spacing w:line="480" w:lineRule="auto"/>
        <w:rPr>
          <w:rFonts w:eastAsiaTheme="minorHAnsi"/>
        </w:rPr>
      </w:pPr>
      <w:r>
        <w:rPr>
          <w:rFonts w:eastAsiaTheme="minorHAnsi"/>
        </w:rPr>
        <w:t>N: number of years, which is in this research 39 years.</w:t>
      </w:r>
    </w:p>
    <w:p w:rsidR="00270EA0" w:rsidRDefault="005A5E7F" w:rsidP="00270EA0">
      <w:pPr>
        <w:autoSpaceDE w:val="0"/>
        <w:autoSpaceDN w:val="0"/>
        <w:adjustRightInd w:val="0"/>
        <w:spacing w:line="480" w:lineRule="auto"/>
        <w:rPr>
          <w:rFonts w:eastAsiaTheme="minorHAnsi"/>
        </w:rPr>
      </w:pPr>
      <w:r>
        <w:rPr>
          <w:rFonts w:eastAsiaTheme="minorHAnsi"/>
        </w:rPr>
        <w:t>t</w:t>
      </w:r>
      <w:r w:rsidR="00270EA0">
        <w:rPr>
          <w:rFonts w:eastAsiaTheme="minorHAnsi"/>
        </w:rPr>
        <w:t>: year</w:t>
      </w:r>
    </w:p>
    <w:p w:rsidR="00270EA0" w:rsidRDefault="00270EA0" w:rsidP="00270EA0">
      <w:pPr>
        <w:pStyle w:val="ListParagraph"/>
        <w:numPr>
          <w:ilvl w:val="0"/>
          <w:numId w:val="15"/>
        </w:numPr>
        <w:autoSpaceDE w:val="0"/>
        <w:autoSpaceDN w:val="0"/>
        <w:adjustRightInd w:val="0"/>
        <w:spacing w:line="480" w:lineRule="auto"/>
        <w:rPr>
          <w:rFonts w:eastAsiaTheme="minorHAnsi"/>
        </w:rPr>
      </w:pPr>
      <w:r>
        <w:rPr>
          <w:rFonts w:eastAsiaTheme="minorHAnsi"/>
        </w:rPr>
        <w:t>MAIR:</w:t>
      </w:r>
    </w:p>
    <w:p w:rsidR="00270EA0" w:rsidRDefault="00270EA0" w:rsidP="00270EA0">
      <w:pPr>
        <w:autoSpaceDE w:val="0"/>
        <w:autoSpaceDN w:val="0"/>
        <w:adjustRightInd w:val="0"/>
        <w:spacing w:line="480" w:lineRule="auto"/>
        <w:rPr>
          <w:rFonts w:eastAsiaTheme="minorHAnsi"/>
        </w:rPr>
      </w:pPr>
      <w:r>
        <w:rPr>
          <w:rFonts w:eastAsiaTheme="minorHAnsi"/>
        </w:rPr>
        <w:t>The mean of adjusted i</w:t>
      </w:r>
      <w:r w:rsidRPr="005E5CB9">
        <w:rPr>
          <w:rFonts w:eastAsiaTheme="minorHAnsi"/>
        </w:rPr>
        <w:t>nflation rate which measure</w:t>
      </w:r>
      <w:r>
        <w:rPr>
          <w:rFonts w:eastAsiaTheme="minorHAnsi"/>
        </w:rPr>
        <w:t>s</w:t>
      </w:r>
      <w:r w:rsidRPr="005E5CB9">
        <w:rPr>
          <w:rFonts w:eastAsiaTheme="minorHAnsi"/>
        </w:rPr>
        <w:t xml:space="preserve"> the price stability in the long run,</w:t>
      </w:r>
      <w:r>
        <w:rPr>
          <w:rFonts w:eastAsiaTheme="minorHAnsi"/>
        </w:rPr>
        <w:t xml:space="preserve"> but it reflects the goods and services prices in gold.</w:t>
      </w:r>
    </w:p>
    <w:p w:rsidR="00270EA0" w:rsidRPr="00162FA0" w:rsidRDefault="00270EA0" w:rsidP="00270EA0">
      <w:pPr>
        <w:autoSpaceDE w:val="0"/>
        <w:autoSpaceDN w:val="0"/>
        <w:adjustRightInd w:val="0"/>
        <w:spacing w:line="480" w:lineRule="auto"/>
        <w:rPr>
          <w:rFonts w:eastAsiaTheme="minorHAnsi"/>
        </w:rPr>
      </w:pPr>
      <w:r>
        <w:rPr>
          <w:rFonts w:eastAsiaTheme="minorHAnsi"/>
        </w:rPr>
        <w:t>We calculated by using this formula:</w:t>
      </w:r>
    </w:p>
    <w:p w:rsidR="00270EA0" w:rsidRDefault="00270EA0" w:rsidP="00270EA0">
      <w:pPr>
        <w:pStyle w:val="NormalWeb"/>
        <w:spacing w:line="480" w:lineRule="auto"/>
        <w:ind w:left="720"/>
        <w:rPr>
          <w:rFonts w:asciiTheme="majorBidi" w:hAnsiTheme="majorBidi" w:cstheme="majorBidi"/>
        </w:rPr>
      </w:pPr>
      <m:oMathPara>
        <m:oMath>
          <m:r>
            <w:rPr>
              <w:rFonts w:ascii="Cambria Math" w:hAnsi="Cambria Math" w:cstheme="majorBidi"/>
            </w:rPr>
            <m:t>MAIR=</m:t>
          </m:r>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 xml:space="preserve">N </m:t>
              </m:r>
            </m:den>
          </m:f>
          <m:nary>
            <m:naryPr>
              <m:chr m:val="∑"/>
              <m:limLoc m:val="undOvr"/>
              <m:ctrlPr>
                <w:rPr>
                  <w:rFonts w:ascii="Cambria Math" w:hAnsi="Cambria Math" w:cstheme="majorBidi"/>
                  <w:i/>
                </w:rPr>
              </m:ctrlPr>
            </m:naryPr>
            <m:sub>
              <m:r>
                <w:rPr>
                  <w:rFonts w:ascii="Cambria Math" w:hAnsi="Cambria Math" w:cstheme="majorBidi"/>
                </w:rPr>
                <m:t>t=1</m:t>
              </m:r>
            </m:sub>
            <m:sup>
              <m:r>
                <w:rPr>
                  <w:rFonts w:ascii="Cambria Math" w:hAnsi="Cambria Math" w:cstheme="majorBidi"/>
                </w:rPr>
                <m:t>N</m:t>
              </m:r>
            </m:sup>
            <m:e>
              <m:r>
                <w:rPr>
                  <w:rFonts w:ascii="Cambria Math" w:hAnsi="Cambria Math" w:cstheme="majorBidi"/>
                </w:rPr>
                <m:t>AIR</m:t>
              </m:r>
            </m:e>
          </m:nary>
        </m:oMath>
      </m:oMathPara>
    </w:p>
    <w:p w:rsidR="005A5E7F" w:rsidRDefault="005A5E7F" w:rsidP="00270EA0">
      <w:pPr>
        <w:autoSpaceDE w:val="0"/>
        <w:autoSpaceDN w:val="0"/>
        <w:adjustRightInd w:val="0"/>
        <w:spacing w:line="480" w:lineRule="auto"/>
        <w:ind w:left="360"/>
        <w:rPr>
          <w:rFonts w:eastAsiaTheme="minorHAnsi"/>
        </w:rPr>
      </w:pPr>
    </w:p>
    <w:p w:rsidR="005A5E7F" w:rsidRDefault="005A5E7F" w:rsidP="00270EA0">
      <w:pPr>
        <w:autoSpaceDE w:val="0"/>
        <w:autoSpaceDN w:val="0"/>
        <w:adjustRightInd w:val="0"/>
        <w:spacing w:line="480" w:lineRule="auto"/>
        <w:ind w:left="360"/>
        <w:rPr>
          <w:rFonts w:eastAsiaTheme="minorHAnsi"/>
        </w:rPr>
      </w:pPr>
    </w:p>
    <w:p w:rsidR="00270EA0" w:rsidRDefault="00270EA0" w:rsidP="00270EA0">
      <w:pPr>
        <w:autoSpaceDE w:val="0"/>
        <w:autoSpaceDN w:val="0"/>
        <w:adjustRightInd w:val="0"/>
        <w:spacing w:line="480" w:lineRule="auto"/>
        <w:ind w:left="360"/>
        <w:rPr>
          <w:rFonts w:eastAsiaTheme="minorHAnsi"/>
        </w:rPr>
      </w:pPr>
      <w:r>
        <w:rPr>
          <w:rFonts w:eastAsiaTheme="minorHAnsi"/>
        </w:rPr>
        <w:lastRenderedPageBreak/>
        <w:t>AIR: adjusted inflation rate.</w:t>
      </w:r>
    </w:p>
    <w:p w:rsidR="00270EA0" w:rsidRDefault="00270EA0" w:rsidP="00270EA0">
      <w:pPr>
        <w:autoSpaceDE w:val="0"/>
        <w:autoSpaceDN w:val="0"/>
        <w:adjustRightInd w:val="0"/>
        <w:spacing w:line="480" w:lineRule="auto"/>
        <w:ind w:left="360"/>
        <w:rPr>
          <w:rFonts w:eastAsiaTheme="minorHAnsi"/>
        </w:rPr>
      </w:pPr>
      <w:r>
        <w:rPr>
          <w:rFonts w:eastAsiaTheme="minorHAnsi"/>
        </w:rPr>
        <w:t>N: number of years.</w:t>
      </w:r>
    </w:p>
    <w:p w:rsidR="00270EA0" w:rsidRDefault="005A5E7F" w:rsidP="00270EA0">
      <w:pPr>
        <w:autoSpaceDE w:val="0"/>
        <w:autoSpaceDN w:val="0"/>
        <w:adjustRightInd w:val="0"/>
        <w:spacing w:line="480" w:lineRule="auto"/>
        <w:ind w:left="360"/>
        <w:rPr>
          <w:rFonts w:eastAsiaTheme="minorHAnsi"/>
        </w:rPr>
      </w:pPr>
      <w:r>
        <w:rPr>
          <w:rFonts w:eastAsiaTheme="minorHAnsi"/>
        </w:rPr>
        <w:t>t</w:t>
      </w:r>
      <w:r w:rsidR="00270EA0">
        <w:rPr>
          <w:rFonts w:eastAsiaTheme="minorHAnsi"/>
        </w:rPr>
        <w:t>: year.</w:t>
      </w:r>
    </w:p>
    <w:p w:rsidR="00270EA0" w:rsidRDefault="00270EA0" w:rsidP="00270EA0">
      <w:pPr>
        <w:autoSpaceDE w:val="0"/>
        <w:autoSpaceDN w:val="0"/>
        <w:adjustRightInd w:val="0"/>
        <w:spacing w:line="480" w:lineRule="auto"/>
        <w:ind w:left="360"/>
        <w:rPr>
          <w:rFonts w:eastAsiaTheme="minorHAnsi"/>
        </w:rPr>
      </w:pPr>
    </w:p>
    <w:p w:rsidR="00270EA0" w:rsidRPr="00162FA0" w:rsidRDefault="00270EA0" w:rsidP="00270EA0">
      <w:pPr>
        <w:pStyle w:val="ListParagraph"/>
        <w:numPr>
          <w:ilvl w:val="0"/>
          <w:numId w:val="15"/>
        </w:numPr>
        <w:autoSpaceDE w:val="0"/>
        <w:autoSpaceDN w:val="0"/>
        <w:adjustRightInd w:val="0"/>
        <w:spacing w:line="480" w:lineRule="auto"/>
        <w:rPr>
          <w:rFonts w:eastAsiaTheme="minorHAnsi"/>
        </w:rPr>
      </w:pPr>
      <w:r w:rsidRPr="00162FA0">
        <w:rPr>
          <w:rFonts w:eastAsiaTheme="minorHAnsi"/>
        </w:rPr>
        <w:t>CV</w:t>
      </w:r>
      <w:r w:rsidRPr="00162FA0">
        <w:rPr>
          <w:rFonts w:eastAsiaTheme="minorHAnsi"/>
          <w:vertAlign w:val="subscript"/>
        </w:rPr>
        <w:t>IR</w:t>
      </w:r>
      <w:r w:rsidRPr="00162FA0">
        <w:rPr>
          <w:rFonts w:eastAsiaTheme="minorHAnsi"/>
        </w:rPr>
        <w:t>:</w:t>
      </w:r>
    </w:p>
    <w:p w:rsidR="00270EA0" w:rsidRDefault="00270EA0" w:rsidP="00270EA0">
      <w:pPr>
        <w:autoSpaceDE w:val="0"/>
        <w:autoSpaceDN w:val="0"/>
        <w:adjustRightInd w:val="0"/>
        <w:spacing w:line="480" w:lineRule="auto"/>
        <w:rPr>
          <w:rFonts w:eastAsiaTheme="minorHAnsi"/>
        </w:rPr>
      </w:pPr>
      <w:r>
        <w:t>The coefficient of variation of IR,</w:t>
      </w:r>
      <w:r>
        <w:rPr>
          <w:rFonts w:eastAsiaTheme="minorHAnsi"/>
        </w:rPr>
        <w:t xml:space="preserve"> which measures the price stability in the short run, we calculated by using this formula:</w:t>
      </w:r>
    </w:p>
    <w:p w:rsidR="00270EA0" w:rsidRDefault="00270EA0" w:rsidP="00270EA0">
      <w:pPr>
        <w:autoSpaceDE w:val="0"/>
        <w:autoSpaceDN w:val="0"/>
        <w:adjustRightInd w:val="0"/>
        <w:spacing w:line="480" w:lineRule="auto"/>
        <w:rPr>
          <w:rFonts w:eastAsiaTheme="minorHAnsi"/>
        </w:rPr>
      </w:pPr>
    </w:p>
    <w:p w:rsidR="00270EA0" w:rsidRPr="00162FA0" w:rsidRDefault="00270EA0" w:rsidP="00270EA0">
      <w:pPr>
        <w:autoSpaceDE w:val="0"/>
        <w:autoSpaceDN w:val="0"/>
        <w:adjustRightInd w:val="0"/>
        <w:spacing w:line="480" w:lineRule="auto"/>
        <w:jc w:val="center"/>
        <w:rPr>
          <w:rFonts w:ascii="Cambria Math" w:eastAsiaTheme="minorHAnsi" w:hAnsi="Cambria Math"/>
          <w:i/>
          <w:iCs/>
        </w:rPr>
      </w:pPr>
      <w:r w:rsidRPr="00162FA0">
        <w:rPr>
          <w:rFonts w:ascii="Cambria Math" w:eastAsiaTheme="minorHAnsi" w:hAnsi="Cambria Math"/>
          <w:i/>
          <w:iCs/>
        </w:rPr>
        <w:t>CV</w:t>
      </w:r>
      <w:r w:rsidRPr="00162FA0">
        <w:rPr>
          <w:rFonts w:ascii="Cambria Math" w:eastAsiaTheme="minorHAnsi" w:hAnsi="Cambria Math"/>
          <w:i/>
          <w:iCs/>
          <w:vertAlign w:val="subscript"/>
        </w:rPr>
        <w:t xml:space="preserve">IR=  </w:t>
      </w:r>
      <w:r w:rsidRPr="00162FA0">
        <w:rPr>
          <w:rFonts w:ascii="Cambria Math" w:eastAsiaTheme="minorHAnsi" w:hAnsi="Cambria Math"/>
          <w:i/>
          <w:iCs/>
          <w:sz w:val="28"/>
          <w:szCs w:val="28"/>
        </w:rPr>
        <w:sym w:font="Symbol" w:char="F073"/>
      </w:r>
      <w:r w:rsidRPr="00162FA0">
        <w:rPr>
          <w:rFonts w:ascii="Cambria Math" w:eastAsiaTheme="minorHAnsi" w:hAnsi="Cambria Math"/>
          <w:i/>
          <w:iCs/>
          <w:vertAlign w:val="subscript"/>
        </w:rPr>
        <w:t xml:space="preserve">IR </w:t>
      </w:r>
      <w:r w:rsidRPr="00162FA0">
        <w:rPr>
          <w:rFonts w:ascii="Cambria Math" w:eastAsiaTheme="minorHAnsi" w:hAnsi="Cambria Math"/>
          <w:i/>
          <w:iCs/>
        </w:rPr>
        <w:t>/MIR</w:t>
      </w:r>
    </w:p>
    <w:p w:rsidR="00270EA0" w:rsidRPr="00172BCF" w:rsidRDefault="00270EA0" w:rsidP="00270EA0">
      <w:pPr>
        <w:autoSpaceDE w:val="0"/>
        <w:autoSpaceDN w:val="0"/>
        <w:adjustRightInd w:val="0"/>
        <w:spacing w:line="480" w:lineRule="auto"/>
        <w:rPr>
          <w:rFonts w:eastAsiaTheme="minorHAnsi"/>
        </w:rPr>
      </w:pPr>
    </w:p>
    <w:p w:rsidR="00270EA0" w:rsidRDefault="00270EA0" w:rsidP="00270EA0">
      <w:pPr>
        <w:autoSpaceDE w:val="0"/>
        <w:autoSpaceDN w:val="0"/>
        <w:adjustRightInd w:val="0"/>
        <w:spacing w:line="480" w:lineRule="auto"/>
        <w:ind w:left="360"/>
        <w:rPr>
          <w:rFonts w:eastAsiaTheme="minorHAnsi"/>
        </w:rPr>
      </w:pPr>
      <w:r>
        <w:rPr>
          <w:rFonts w:eastAsiaTheme="minorHAnsi"/>
        </w:rPr>
        <w:t>MIR: mean of inflation rate.</w:t>
      </w:r>
    </w:p>
    <w:p w:rsidR="00270EA0" w:rsidRDefault="00270EA0" w:rsidP="00270EA0">
      <w:pPr>
        <w:autoSpaceDE w:val="0"/>
        <w:autoSpaceDN w:val="0"/>
        <w:adjustRightInd w:val="0"/>
        <w:spacing w:line="480" w:lineRule="auto"/>
        <w:ind w:left="360"/>
        <w:rPr>
          <w:rFonts w:eastAsiaTheme="minorHAnsi"/>
        </w:rPr>
      </w:pPr>
      <w:r w:rsidRPr="00162FA0">
        <w:rPr>
          <w:rFonts w:ascii="Cambria Math" w:eastAsiaTheme="minorHAnsi" w:hAnsi="Cambria Math"/>
          <w:i/>
          <w:iCs/>
          <w:sz w:val="28"/>
          <w:szCs w:val="28"/>
        </w:rPr>
        <w:sym w:font="Symbol" w:char="F073"/>
      </w:r>
      <w:r w:rsidRPr="00162FA0">
        <w:rPr>
          <w:rFonts w:ascii="Cambria Math" w:eastAsiaTheme="minorHAnsi" w:hAnsi="Cambria Math"/>
          <w:i/>
          <w:iCs/>
          <w:vertAlign w:val="subscript"/>
        </w:rPr>
        <w:t>IR</w:t>
      </w:r>
      <w:r>
        <w:rPr>
          <w:rFonts w:eastAsiaTheme="minorHAnsi"/>
        </w:rPr>
        <w:t>: standard deviation of inflation rate.</w:t>
      </w:r>
    </w:p>
    <w:p w:rsidR="00270EA0" w:rsidRDefault="00270EA0" w:rsidP="00270EA0">
      <w:pPr>
        <w:pStyle w:val="ListParagraph"/>
        <w:numPr>
          <w:ilvl w:val="0"/>
          <w:numId w:val="15"/>
        </w:numPr>
        <w:autoSpaceDE w:val="0"/>
        <w:autoSpaceDN w:val="0"/>
        <w:adjustRightInd w:val="0"/>
        <w:spacing w:line="480" w:lineRule="auto"/>
        <w:rPr>
          <w:rFonts w:eastAsiaTheme="minorHAnsi"/>
        </w:rPr>
      </w:pPr>
      <w:r w:rsidRPr="00162FA0">
        <w:rPr>
          <w:rFonts w:eastAsiaTheme="minorHAnsi"/>
        </w:rPr>
        <w:t>CV</w:t>
      </w:r>
      <w:r>
        <w:rPr>
          <w:rFonts w:eastAsiaTheme="minorHAnsi"/>
          <w:vertAlign w:val="subscript"/>
        </w:rPr>
        <w:t>AIR</w:t>
      </w:r>
      <w:r w:rsidRPr="00162FA0">
        <w:rPr>
          <w:rFonts w:eastAsiaTheme="minorHAnsi"/>
        </w:rPr>
        <w:t>:</w:t>
      </w:r>
    </w:p>
    <w:p w:rsidR="00270EA0" w:rsidRDefault="00270EA0" w:rsidP="00270EA0">
      <w:pPr>
        <w:autoSpaceDE w:val="0"/>
        <w:autoSpaceDN w:val="0"/>
        <w:adjustRightInd w:val="0"/>
        <w:spacing w:line="480" w:lineRule="auto"/>
        <w:rPr>
          <w:rFonts w:eastAsiaTheme="minorHAnsi"/>
        </w:rPr>
      </w:pPr>
      <w:r>
        <w:t>The coefficient of variation of AIR,</w:t>
      </w:r>
      <w:r w:rsidRPr="00162FA0">
        <w:rPr>
          <w:rFonts w:eastAsiaTheme="minorHAnsi"/>
        </w:rPr>
        <w:t xml:space="preserve"> which measures the price stability in the short run,</w:t>
      </w:r>
      <w:r>
        <w:rPr>
          <w:rFonts w:eastAsiaTheme="minorHAnsi"/>
        </w:rPr>
        <w:t xml:space="preserve"> but it reflects the goods and services prices in gold. </w:t>
      </w:r>
      <w:r w:rsidRPr="00162FA0">
        <w:rPr>
          <w:rFonts w:eastAsiaTheme="minorHAnsi"/>
        </w:rPr>
        <w:t>We calculated by using this formula:</w:t>
      </w:r>
    </w:p>
    <w:p w:rsidR="00270EA0" w:rsidRPr="00162FA0" w:rsidRDefault="00270EA0" w:rsidP="00270EA0">
      <w:pPr>
        <w:autoSpaceDE w:val="0"/>
        <w:autoSpaceDN w:val="0"/>
        <w:adjustRightInd w:val="0"/>
        <w:spacing w:line="480" w:lineRule="auto"/>
        <w:jc w:val="center"/>
        <w:rPr>
          <w:rFonts w:ascii="Cambria Math" w:eastAsiaTheme="minorHAnsi" w:hAnsi="Cambria Math"/>
          <w:i/>
          <w:iCs/>
        </w:rPr>
      </w:pPr>
      <w:r w:rsidRPr="00162FA0">
        <w:rPr>
          <w:rFonts w:ascii="Cambria Math" w:eastAsiaTheme="minorHAnsi" w:hAnsi="Cambria Math"/>
          <w:i/>
          <w:iCs/>
        </w:rPr>
        <w:t>CV</w:t>
      </w:r>
      <w:r>
        <w:rPr>
          <w:rFonts w:ascii="Cambria Math" w:eastAsiaTheme="minorHAnsi" w:hAnsi="Cambria Math"/>
          <w:i/>
          <w:iCs/>
          <w:vertAlign w:val="subscript"/>
        </w:rPr>
        <w:t>AIR</w:t>
      </w:r>
      <w:r w:rsidRPr="00162FA0">
        <w:rPr>
          <w:rFonts w:ascii="Cambria Math" w:eastAsiaTheme="minorHAnsi" w:hAnsi="Cambria Math"/>
          <w:i/>
          <w:iCs/>
          <w:vertAlign w:val="subscript"/>
        </w:rPr>
        <w:t xml:space="preserve">=  </w:t>
      </w:r>
      <w:r w:rsidRPr="00162FA0">
        <w:rPr>
          <w:rFonts w:ascii="Cambria Math" w:eastAsiaTheme="minorHAnsi" w:hAnsi="Cambria Math"/>
          <w:i/>
          <w:iCs/>
          <w:sz w:val="28"/>
          <w:szCs w:val="28"/>
        </w:rPr>
        <w:sym w:font="Symbol" w:char="F073"/>
      </w:r>
      <w:r>
        <w:rPr>
          <w:rFonts w:ascii="Cambria Math" w:eastAsiaTheme="minorHAnsi" w:hAnsi="Cambria Math"/>
          <w:i/>
          <w:iCs/>
          <w:vertAlign w:val="subscript"/>
        </w:rPr>
        <w:t>AIR</w:t>
      </w:r>
      <w:r w:rsidRPr="00162FA0">
        <w:rPr>
          <w:rFonts w:ascii="Cambria Math" w:eastAsiaTheme="minorHAnsi" w:hAnsi="Cambria Math"/>
          <w:i/>
          <w:iCs/>
          <w:vertAlign w:val="subscript"/>
        </w:rPr>
        <w:t xml:space="preserve"> </w:t>
      </w:r>
      <w:r w:rsidRPr="00162FA0">
        <w:rPr>
          <w:rFonts w:ascii="Cambria Math" w:eastAsiaTheme="minorHAnsi" w:hAnsi="Cambria Math"/>
          <w:i/>
          <w:iCs/>
        </w:rPr>
        <w:t>/M</w:t>
      </w:r>
      <w:r>
        <w:rPr>
          <w:rFonts w:ascii="Cambria Math" w:eastAsiaTheme="minorHAnsi" w:hAnsi="Cambria Math"/>
          <w:i/>
          <w:iCs/>
        </w:rPr>
        <w:t>A</w:t>
      </w:r>
      <w:r w:rsidRPr="00162FA0">
        <w:rPr>
          <w:rFonts w:ascii="Cambria Math" w:eastAsiaTheme="minorHAnsi" w:hAnsi="Cambria Math"/>
          <w:i/>
          <w:iCs/>
        </w:rPr>
        <w:t>IR</w:t>
      </w:r>
    </w:p>
    <w:p w:rsidR="00270EA0" w:rsidRDefault="00270EA0" w:rsidP="00270EA0">
      <w:pPr>
        <w:autoSpaceDE w:val="0"/>
        <w:autoSpaceDN w:val="0"/>
        <w:adjustRightInd w:val="0"/>
        <w:spacing w:line="480" w:lineRule="auto"/>
        <w:ind w:left="360"/>
        <w:rPr>
          <w:rFonts w:eastAsiaTheme="minorHAnsi"/>
        </w:rPr>
      </w:pPr>
      <w:r>
        <w:rPr>
          <w:rFonts w:eastAsiaTheme="minorHAnsi"/>
        </w:rPr>
        <w:t>MAIR: mean of adjusted inflation rate.</w:t>
      </w:r>
    </w:p>
    <w:p w:rsidR="00270EA0" w:rsidRPr="00162FA0" w:rsidRDefault="00270EA0" w:rsidP="00270EA0">
      <w:pPr>
        <w:autoSpaceDE w:val="0"/>
        <w:autoSpaceDN w:val="0"/>
        <w:adjustRightInd w:val="0"/>
        <w:spacing w:line="480" w:lineRule="auto"/>
        <w:ind w:left="360"/>
        <w:rPr>
          <w:rFonts w:eastAsiaTheme="minorHAnsi"/>
        </w:rPr>
      </w:pPr>
      <w:r w:rsidRPr="00162FA0">
        <w:rPr>
          <w:rFonts w:ascii="Cambria Math" w:eastAsiaTheme="minorHAnsi" w:hAnsi="Cambria Math"/>
          <w:i/>
          <w:iCs/>
          <w:sz w:val="28"/>
          <w:szCs w:val="28"/>
        </w:rPr>
        <w:sym w:font="Symbol" w:char="F073"/>
      </w:r>
      <w:r w:rsidRPr="00162FA0">
        <w:rPr>
          <w:rFonts w:ascii="Cambria Math" w:eastAsiaTheme="minorHAnsi" w:hAnsi="Cambria Math"/>
          <w:i/>
          <w:iCs/>
          <w:vertAlign w:val="subscript"/>
        </w:rPr>
        <w:t>IR</w:t>
      </w:r>
      <w:r>
        <w:rPr>
          <w:rFonts w:eastAsiaTheme="minorHAnsi"/>
        </w:rPr>
        <w:t>: standard deviation of adjusted inflation rate.</w:t>
      </w:r>
    </w:p>
    <w:p w:rsidR="00270EA0" w:rsidRDefault="00270EA0" w:rsidP="00270EA0">
      <w:pPr>
        <w:pStyle w:val="ListParagraph"/>
        <w:numPr>
          <w:ilvl w:val="0"/>
          <w:numId w:val="15"/>
        </w:numPr>
        <w:autoSpaceDE w:val="0"/>
        <w:autoSpaceDN w:val="0"/>
        <w:adjustRightInd w:val="0"/>
        <w:spacing w:line="480" w:lineRule="auto"/>
        <w:rPr>
          <w:rFonts w:eastAsiaTheme="minorHAnsi"/>
        </w:rPr>
      </w:pPr>
      <w:r>
        <w:rPr>
          <w:rFonts w:eastAsiaTheme="minorHAnsi"/>
        </w:rPr>
        <w:t>CV</w:t>
      </w:r>
      <w:r>
        <w:rPr>
          <w:rFonts w:eastAsiaTheme="minorHAnsi"/>
          <w:vertAlign w:val="subscript"/>
        </w:rPr>
        <w:t>CPI</w:t>
      </w:r>
      <w:r>
        <w:rPr>
          <w:rFonts w:eastAsiaTheme="minorHAnsi"/>
        </w:rPr>
        <w:t>:</w:t>
      </w:r>
    </w:p>
    <w:p w:rsidR="00270EA0" w:rsidRDefault="00270EA0" w:rsidP="00270EA0">
      <w:pPr>
        <w:autoSpaceDE w:val="0"/>
        <w:autoSpaceDN w:val="0"/>
        <w:adjustRightInd w:val="0"/>
        <w:spacing w:line="480" w:lineRule="auto"/>
        <w:rPr>
          <w:rFonts w:eastAsiaTheme="minorHAnsi"/>
        </w:rPr>
      </w:pPr>
      <w:r>
        <w:rPr>
          <w:rFonts w:eastAsiaTheme="minorHAnsi"/>
        </w:rPr>
        <w:t>The coefficient of variation of CPI, which is  a general indicator of price stability.</w:t>
      </w:r>
    </w:p>
    <w:p w:rsidR="00270EA0" w:rsidRPr="00CE54EE" w:rsidRDefault="00270EA0" w:rsidP="00270EA0">
      <w:pPr>
        <w:autoSpaceDE w:val="0"/>
        <w:autoSpaceDN w:val="0"/>
        <w:adjustRightInd w:val="0"/>
        <w:spacing w:line="480" w:lineRule="auto"/>
        <w:rPr>
          <w:rFonts w:eastAsiaTheme="minorHAnsi"/>
        </w:rPr>
      </w:pPr>
      <w:r>
        <w:rPr>
          <w:rFonts w:eastAsiaTheme="minorHAnsi"/>
        </w:rPr>
        <w:t xml:space="preserve">We calculated by using this formula: </w:t>
      </w:r>
    </w:p>
    <w:p w:rsidR="00270EA0" w:rsidRPr="00162FA0" w:rsidRDefault="00270EA0" w:rsidP="00270EA0">
      <w:pPr>
        <w:autoSpaceDE w:val="0"/>
        <w:autoSpaceDN w:val="0"/>
        <w:adjustRightInd w:val="0"/>
        <w:spacing w:line="480" w:lineRule="auto"/>
        <w:jc w:val="center"/>
        <w:rPr>
          <w:rFonts w:ascii="Cambria Math" w:eastAsiaTheme="minorHAnsi" w:hAnsi="Cambria Math"/>
          <w:i/>
          <w:iCs/>
        </w:rPr>
      </w:pPr>
      <w:r w:rsidRPr="00162FA0">
        <w:rPr>
          <w:rFonts w:ascii="Cambria Math" w:eastAsiaTheme="minorHAnsi" w:hAnsi="Cambria Math"/>
          <w:i/>
          <w:iCs/>
        </w:rPr>
        <w:t>CV</w:t>
      </w:r>
      <w:r>
        <w:rPr>
          <w:rFonts w:ascii="Cambria Math" w:eastAsiaTheme="minorHAnsi" w:hAnsi="Cambria Math"/>
          <w:i/>
          <w:iCs/>
          <w:vertAlign w:val="subscript"/>
        </w:rPr>
        <w:t>CPI</w:t>
      </w:r>
      <w:r w:rsidRPr="00162FA0">
        <w:rPr>
          <w:rFonts w:ascii="Cambria Math" w:eastAsiaTheme="minorHAnsi" w:hAnsi="Cambria Math"/>
          <w:i/>
          <w:iCs/>
          <w:vertAlign w:val="subscript"/>
        </w:rPr>
        <w:t xml:space="preserve">=  </w:t>
      </w:r>
      <w:r w:rsidRPr="00162FA0">
        <w:rPr>
          <w:rFonts w:ascii="Cambria Math" w:eastAsiaTheme="minorHAnsi" w:hAnsi="Cambria Math"/>
          <w:i/>
          <w:iCs/>
          <w:sz w:val="28"/>
          <w:szCs w:val="28"/>
        </w:rPr>
        <w:sym w:font="Symbol" w:char="F073"/>
      </w:r>
      <w:r>
        <w:rPr>
          <w:rFonts w:ascii="Cambria Math" w:eastAsiaTheme="minorHAnsi" w:hAnsi="Cambria Math"/>
          <w:i/>
          <w:iCs/>
          <w:vertAlign w:val="subscript"/>
        </w:rPr>
        <w:t>CPI</w:t>
      </w:r>
      <w:r w:rsidRPr="00162FA0">
        <w:rPr>
          <w:rFonts w:ascii="Cambria Math" w:eastAsiaTheme="minorHAnsi" w:hAnsi="Cambria Math"/>
          <w:i/>
          <w:iCs/>
          <w:vertAlign w:val="subscript"/>
        </w:rPr>
        <w:t xml:space="preserve"> </w:t>
      </w:r>
      <w:r w:rsidRPr="00162FA0">
        <w:rPr>
          <w:rFonts w:ascii="Cambria Math" w:eastAsiaTheme="minorHAnsi" w:hAnsi="Cambria Math"/>
          <w:i/>
          <w:iCs/>
        </w:rPr>
        <w:t>/</w:t>
      </w:r>
      <w:r>
        <w:rPr>
          <w:rFonts w:ascii="Cambria Math" w:eastAsiaTheme="minorHAnsi" w:hAnsi="Cambria Math"/>
          <w:i/>
          <w:iCs/>
        </w:rPr>
        <w:t>MCPI</w:t>
      </w:r>
    </w:p>
    <w:p w:rsidR="00270EA0" w:rsidRPr="00653DB5" w:rsidRDefault="00270EA0" w:rsidP="00270EA0">
      <w:pPr>
        <w:autoSpaceDE w:val="0"/>
        <w:autoSpaceDN w:val="0"/>
        <w:adjustRightInd w:val="0"/>
        <w:spacing w:line="480" w:lineRule="auto"/>
        <w:ind w:left="360"/>
        <w:rPr>
          <w:rFonts w:eastAsiaTheme="minorHAnsi"/>
        </w:rPr>
      </w:pPr>
    </w:p>
    <w:p w:rsidR="00270EA0" w:rsidRPr="00870E28" w:rsidRDefault="00270EA0" w:rsidP="00270EA0">
      <w:pPr>
        <w:pStyle w:val="ListParagraph"/>
        <w:numPr>
          <w:ilvl w:val="0"/>
          <w:numId w:val="15"/>
        </w:numPr>
        <w:autoSpaceDE w:val="0"/>
        <w:autoSpaceDN w:val="0"/>
        <w:adjustRightInd w:val="0"/>
        <w:spacing w:line="480" w:lineRule="auto"/>
        <w:rPr>
          <w:rFonts w:eastAsiaTheme="minorHAnsi"/>
        </w:rPr>
      </w:pPr>
      <w:r w:rsidRPr="00870E28">
        <w:rPr>
          <w:rFonts w:eastAsiaTheme="minorHAnsi"/>
        </w:rPr>
        <w:t>CV</w:t>
      </w:r>
      <w:r>
        <w:rPr>
          <w:rFonts w:eastAsiaTheme="minorHAnsi"/>
          <w:vertAlign w:val="subscript"/>
        </w:rPr>
        <w:t>AC</w:t>
      </w:r>
      <w:r w:rsidRPr="00870E28">
        <w:rPr>
          <w:rFonts w:eastAsiaTheme="minorHAnsi"/>
          <w:vertAlign w:val="subscript"/>
        </w:rPr>
        <w:t>PI</w:t>
      </w:r>
      <w:r w:rsidRPr="00870E28">
        <w:rPr>
          <w:rFonts w:eastAsiaTheme="minorHAnsi"/>
        </w:rPr>
        <w:t>:</w:t>
      </w:r>
    </w:p>
    <w:p w:rsidR="00270EA0" w:rsidRDefault="00270EA0" w:rsidP="00270EA0">
      <w:pPr>
        <w:autoSpaceDE w:val="0"/>
        <w:autoSpaceDN w:val="0"/>
        <w:adjustRightInd w:val="0"/>
        <w:spacing w:line="480" w:lineRule="auto"/>
        <w:rPr>
          <w:rFonts w:eastAsiaTheme="minorHAnsi"/>
        </w:rPr>
      </w:pPr>
      <w:r>
        <w:rPr>
          <w:rFonts w:eastAsiaTheme="minorHAnsi"/>
        </w:rPr>
        <w:t>The coefficient</w:t>
      </w:r>
      <w:r w:rsidR="00680A53">
        <w:rPr>
          <w:rFonts w:eastAsiaTheme="minorHAnsi"/>
        </w:rPr>
        <w:t xml:space="preserve"> of variation of ACPI, which is</w:t>
      </w:r>
      <w:r>
        <w:rPr>
          <w:rFonts w:eastAsiaTheme="minorHAnsi"/>
        </w:rPr>
        <w:t xml:space="preserve"> a general indicator of price stability, but it reflects the goods and services prices in gold.</w:t>
      </w:r>
    </w:p>
    <w:p w:rsidR="00270EA0" w:rsidRPr="00CE54EE" w:rsidRDefault="00270EA0" w:rsidP="00270EA0">
      <w:pPr>
        <w:autoSpaceDE w:val="0"/>
        <w:autoSpaceDN w:val="0"/>
        <w:adjustRightInd w:val="0"/>
        <w:spacing w:line="480" w:lineRule="auto"/>
        <w:rPr>
          <w:rFonts w:eastAsiaTheme="minorHAnsi"/>
        </w:rPr>
      </w:pPr>
      <w:r>
        <w:rPr>
          <w:rFonts w:eastAsiaTheme="minorHAnsi"/>
        </w:rPr>
        <w:t xml:space="preserve">We calculated by using this formula: </w:t>
      </w:r>
    </w:p>
    <w:p w:rsidR="00270EA0" w:rsidRDefault="00270EA0" w:rsidP="00270EA0">
      <w:pPr>
        <w:autoSpaceDE w:val="0"/>
        <w:autoSpaceDN w:val="0"/>
        <w:adjustRightInd w:val="0"/>
        <w:spacing w:line="480" w:lineRule="auto"/>
        <w:jc w:val="center"/>
        <w:rPr>
          <w:rFonts w:ascii="Cambria Math" w:eastAsiaTheme="minorHAnsi" w:hAnsi="Cambria Math"/>
          <w:i/>
          <w:iCs/>
        </w:rPr>
      </w:pPr>
      <w:r w:rsidRPr="00162FA0">
        <w:rPr>
          <w:rFonts w:ascii="Cambria Math" w:eastAsiaTheme="minorHAnsi" w:hAnsi="Cambria Math"/>
          <w:i/>
          <w:iCs/>
        </w:rPr>
        <w:t>CV</w:t>
      </w:r>
      <w:r>
        <w:rPr>
          <w:rFonts w:ascii="Cambria Math" w:eastAsiaTheme="minorHAnsi" w:hAnsi="Cambria Math"/>
          <w:i/>
          <w:iCs/>
          <w:vertAlign w:val="subscript"/>
        </w:rPr>
        <w:t>ACPI</w:t>
      </w:r>
      <w:r w:rsidRPr="00162FA0">
        <w:rPr>
          <w:rFonts w:ascii="Cambria Math" w:eastAsiaTheme="minorHAnsi" w:hAnsi="Cambria Math"/>
          <w:i/>
          <w:iCs/>
          <w:vertAlign w:val="subscript"/>
        </w:rPr>
        <w:t xml:space="preserve">=  </w:t>
      </w:r>
      <w:r w:rsidRPr="00162FA0">
        <w:rPr>
          <w:rFonts w:ascii="Cambria Math" w:eastAsiaTheme="minorHAnsi" w:hAnsi="Cambria Math"/>
          <w:i/>
          <w:iCs/>
          <w:sz w:val="28"/>
          <w:szCs w:val="28"/>
        </w:rPr>
        <w:sym w:font="Symbol" w:char="F073"/>
      </w:r>
      <w:r>
        <w:rPr>
          <w:rFonts w:ascii="Cambria Math" w:eastAsiaTheme="minorHAnsi" w:hAnsi="Cambria Math"/>
          <w:i/>
          <w:iCs/>
          <w:vertAlign w:val="subscript"/>
        </w:rPr>
        <w:t>ACPI</w:t>
      </w:r>
      <w:r w:rsidRPr="00162FA0">
        <w:rPr>
          <w:rFonts w:ascii="Cambria Math" w:eastAsiaTheme="minorHAnsi" w:hAnsi="Cambria Math"/>
          <w:i/>
          <w:iCs/>
          <w:vertAlign w:val="subscript"/>
        </w:rPr>
        <w:t xml:space="preserve"> </w:t>
      </w:r>
      <w:r w:rsidRPr="00162FA0">
        <w:rPr>
          <w:rFonts w:ascii="Cambria Math" w:eastAsiaTheme="minorHAnsi" w:hAnsi="Cambria Math"/>
          <w:i/>
          <w:iCs/>
        </w:rPr>
        <w:t>/</w:t>
      </w:r>
      <w:r>
        <w:rPr>
          <w:rFonts w:ascii="Cambria Math" w:eastAsiaTheme="minorHAnsi" w:hAnsi="Cambria Math"/>
          <w:i/>
          <w:iCs/>
        </w:rPr>
        <w:t>MACPI</w:t>
      </w:r>
    </w:p>
    <w:p w:rsidR="003543BC" w:rsidRDefault="003543BC" w:rsidP="00270EA0">
      <w:pPr>
        <w:autoSpaceDE w:val="0"/>
        <w:autoSpaceDN w:val="0"/>
        <w:adjustRightInd w:val="0"/>
        <w:spacing w:line="480" w:lineRule="auto"/>
        <w:jc w:val="center"/>
        <w:rPr>
          <w:rFonts w:ascii="Cambria Math" w:eastAsiaTheme="minorHAnsi" w:hAnsi="Cambria Math"/>
          <w:i/>
          <w:iCs/>
        </w:rPr>
      </w:pPr>
    </w:p>
    <w:p w:rsidR="003543BC" w:rsidRDefault="003543BC" w:rsidP="003543BC">
      <w:pPr>
        <w:autoSpaceDE w:val="0"/>
        <w:autoSpaceDN w:val="0"/>
        <w:adjustRightInd w:val="0"/>
        <w:spacing w:line="480" w:lineRule="auto"/>
        <w:rPr>
          <w:rFonts w:asciiTheme="majorBidi" w:eastAsiaTheme="minorHAnsi" w:hAnsiTheme="majorBidi" w:cstheme="majorBidi"/>
        </w:rPr>
      </w:pPr>
      <w:r>
        <w:rPr>
          <w:rFonts w:asciiTheme="majorBidi" w:eastAsiaTheme="minorHAnsi" w:hAnsiTheme="majorBidi" w:cstheme="majorBidi"/>
        </w:rPr>
        <w:t>Actually many researchers</w:t>
      </w:r>
      <w:r w:rsidR="00DF3E59">
        <w:rPr>
          <w:rFonts w:asciiTheme="majorBidi" w:eastAsiaTheme="minorHAnsi" w:hAnsiTheme="majorBidi" w:cstheme="majorBidi"/>
        </w:rPr>
        <w:t xml:space="preserve"> have</w:t>
      </w:r>
      <w:r>
        <w:rPr>
          <w:rFonts w:asciiTheme="majorBidi" w:eastAsiaTheme="minorHAnsi" w:hAnsiTheme="majorBidi" w:cstheme="majorBidi"/>
        </w:rPr>
        <w:t xml:space="preserve"> used the</w:t>
      </w:r>
      <w:r w:rsidR="00DF3E59">
        <w:rPr>
          <w:rFonts w:asciiTheme="majorBidi" w:eastAsiaTheme="minorHAnsi" w:hAnsiTheme="majorBidi" w:cstheme="majorBidi"/>
        </w:rPr>
        <w:t xml:space="preserve"> same</w:t>
      </w:r>
      <w:r>
        <w:rPr>
          <w:rFonts w:asciiTheme="majorBidi" w:eastAsiaTheme="minorHAnsi" w:hAnsiTheme="majorBidi" w:cstheme="majorBidi"/>
        </w:rPr>
        <w:t xml:space="preserve"> first four indicators when they were studying the ability of gold standard </w:t>
      </w:r>
      <w:r w:rsidR="00DF3E59">
        <w:rPr>
          <w:rFonts w:asciiTheme="majorBidi" w:eastAsiaTheme="minorHAnsi" w:hAnsiTheme="majorBidi" w:cstheme="majorBidi"/>
        </w:rPr>
        <w:t xml:space="preserve">(before 1914) </w:t>
      </w:r>
      <w:r>
        <w:rPr>
          <w:rFonts w:asciiTheme="majorBidi" w:eastAsiaTheme="minorHAnsi" w:hAnsiTheme="majorBidi" w:cstheme="majorBidi"/>
        </w:rPr>
        <w:t>to stabilize the purchasing power comparing with the fiat money system</w:t>
      </w:r>
      <w:r w:rsidR="00DF3E59">
        <w:rPr>
          <w:rFonts w:asciiTheme="majorBidi" w:eastAsiaTheme="minorHAnsi" w:hAnsiTheme="majorBidi" w:cstheme="majorBidi"/>
        </w:rPr>
        <w:t xml:space="preserve"> </w:t>
      </w:r>
      <w:r>
        <w:rPr>
          <w:rFonts w:asciiTheme="majorBidi" w:eastAsiaTheme="minorHAnsi" w:hAnsiTheme="majorBidi" w:cstheme="majorBidi"/>
        </w:rPr>
        <w:t>, l</w:t>
      </w:r>
      <w:r w:rsidR="00130655">
        <w:rPr>
          <w:rFonts w:asciiTheme="majorBidi" w:eastAsiaTheme="minorHAnsi" w:hAnsiTheme="majorBidi" w:cstheme="majorBidi"/>
        </w:rPr>
        <w:t>ike Ola Grytten, Arngirm Hunnes</w:t>
      </w:r>
      <w:r>
        <w:rPr>
          <w:rFonts w:asciiTheme="majorBidi" w:eastAsiaTheme="minorHAnsi" w:hAnsiTheme="majorBidi" w:cstheme="majorBidi"/>
        </w:rPr>
        <w:t xml:space="preserve"> (2009), and Michael D. </w:t>
      </w:r>
      <w:r w:rsidR="006F520D">
        <w:rPr>
          <w:rFonts w:asciiTheme="majorBidi" w:eastAsiaTheme="minorHAnsi" w:hAnsiTheme="majorBidi" w:cstheme="majorBidi"/>
        </w:rPr>
        <w:t>Bordo (2003</w:t>
      </w:r>
      <w:r>
        <w:rPr>
          <w:rFonts w:asciiTheme="majorBidi" w:eastAsiaTheme="minorHAnsi" w:hAnsiTheme="majorBidi" w:cstheme="majorBidi"/>
        </w:rPr>
        <w:t>).</w:t>
      </w:r>
    </w:p>
    <w:p w:rsidR="003543BC" w:rsidRDefault="00DF3E59" w:rsidP="003543BC">
      <w:pPr>
        <w:autoSpaceDE w:val="0"/>
        <w:autoSpaceDN w:val="0"/>
        <w:adjustRightInd w:val="0"/>
        <w:spacing w:line="480" w:lineRule="auto"/>
        <w:rPr>
          <w:rFonts w:asciiTheme="majorBidi" w:eastAsiaTheme="minorHAnsi" w:hAnsiTheme="majorBidi" w:cstheme="majorBidi"/>
        </w:rPr>
      </w:pPr>
      <w:r>
        <w:rPr>
          <w:rFonts w:asciiTheme="majorBidi" w:eastAsiaTheme="minorHAnsi" w:hAnsiTheme="majorBidi" w:cstheme="majorBidi"/>
        </w:rPr>
        <w:t>The major</w:t>
      </w:r>
      <w:r w:rsidR="00053C5F">
        <w:rPr>
          <w:rFonts w:asciiTheme="majorBidi" w:eastAsiaTheme="minorHAnsi" w:hAnsiTheme="majorBidi" w:cstheme="majorBidi"/>
        </w:rPr>
        <w:t xml:space="preserve"> two differences</w:t>
      </w:r>
      <w:r w:rsidR="00D8205B">
        <w:rPr>
          <w:rFonts w:asciiTheme="majorBidi" w:eastAsiaTheme="minorHAnsi" w:hAnsiTheme="majorBidi" w:cstheme="majorBidi"/>
        </w:rPr>
        <w:t xml:space="preserve"> of this research comparing with </w:t>
      </w:r>
      <w:r w:rsidR="003543BC">
        <w:rPr>
          <w:rFonts w:asciiTheme="majorBidi" w:eastAsiaTheme="minorHAnsi" w:hAnsiTheme="majorBidi" w:cstheme="majorBidi"/>
        </w:rPr>
        <w:t xml:space="preserve">the previous researches </w:t>
      </w:r>
      <w:r>
        <w:rPr>
          <w:rFonts w:asciiTheme="majorBidi" w:eastAsiaTheme="minorHAnsi" w:hAnsiTheme="majorBidi" w:cstheme="majorBidi"/>
        </w:rPr>
        <w:t>are:</w:t>
      </w:r>
    </w:p>
    <w:p w:rsidR="003543BC" w:rsidRDefault="006F520D" w:rsidP="003543BC">
      <w:pPr>
        <w:pStyle w:val="ListParagraph"/>
        <w:numPr>
          <w:ilvl w:val="0"/>
          <w:numId w:val="17"/>
        </w:numPr>
        <w:autoSpaceDE w:val="0"/>
        <w:autoSpaceDN w:val="0"/>
        <w:adjustRightInd w:val="0"/>
        <w:spacing w:line="480" w:lineRule="auto"/>
        <w:rPr>
          <w:rFonts w:asciiTheme="majorBidi" w:eastAsiaTheme="minorHAnsi" w:hAnsiTheme="majorBidi" w:cstheme="majorBidi"/>
        </w:rPr>
      </w:pPr>
      <w:r>
        <w:rPr>
          <w:rFonts w:asciiTheme="majorBidi" w:eastAsiaTheme="minorHAnsi" w:hAnsiTheme="majorBidi" w:cstheme="majorBidi"/>
        </w:rPr>
        <w:t>Investigate the ability of gold (not the gold standard) to</w:t>
      </w:r>
      <w:r w:rsidR="003543BC">
        <w:rPr>
          <w:rFonts w:asciiTheme="majorBidi" w:eastAsiaTheme="minorHAnsi" w:hAnsiTheme="majorBidi" w:cstheme="majorBidi"/>
        </w:rPr>
        <w:t xml:space="preserve"> stabilize the purchasing power comparing with the fiat</w:t>
      </w:r>
      <w:r w:rsidR="00130655">
        <w:rPr>
          <w:rFonts w:asciiTheme="majorBidi" w:eastAsiaTheme="minorHAnsi" w:hAnsiTheme="majorBidi" w:cstheme="majorBidi"/>
        </w:rPr>
        <w:t xml:space="preserve"> money after the Bretton woods A</w:t>
      </w:r>
      <w:r w:rsidR="003543BC">
        <w:rPr>
          <w:rFonts w:asciiTheme="majorBidi" w:eastAsiaTheme="minorHAnsi" w:hAnsiTheme="majorBidi" w:cstheme="majorBidi"/>
        </w:rPr>
        <w:t>greement ended (1971).</w:t>
      </w:r>
    </w:p>
    <w:p w:rsidR="00DF3E59" w:rsidRPr="003543BC" w:rsidRDefault="00DF3E59" w:rsidP="003543BC">
      <w:pPr>
        <w:pStyle w:val="ListParagraph"/>
        <w:numPr>
          <w:ilvl w:val="0"/>
          <w:numId w:val="17"/>
        </w:numPr>
        <w:autoSpaceDE w:val="0"/>
        <w:autoSpaceDN w:val="0"/>
        <w:adjustRightInd w:val="0"/>
        <w:spacing w:line="480" w:lineRule="auto"/>
        <w:rPr>
          <w:rFonts w:asciiTheme="majorBidi" w:eastAsiaTheme="minorHAnsi" w:hAnsiTheme="majorBidi" w:cstheme="majorBidi"/>
        </w:rPr>
      </w:pPr>
      <w:r>
        <w:rPr>
          <w:rFonts w:asciiTheme="majorBidi" w:eastAsiaTheme="minorHAnsi" w:hAnsiTheme="majorBidi" w:cstheme="majorBidi"/>
        </w:rPr>
        <w:t>Adding a new indicator of price stability CV</w:t>
      </w:r>
      <w:r>
        <w:rPr>
          <w:rFonts w:asciiTheme="majorBidi" w:eastAsiaTheme="minorHAnsi" w:hAnsiTheme="majorBidi" w:cstheme="majorBidi"/>
          <w:vertAlign w:val="subscript"/>
        </w:rPr>
        <w:t xml:space="preserve">CPI </w:t>
      </w:r>
      <w:r>
        <w:rPr>
          <w:rFonts w:asciiTheme="majorBidi" w:eastAsiaTheme="minorHAnsi" w:hAnsiTheme="majorBidi" w:cstheme="majorBidi"/>
        </w:rPr>
        <w:t>and CV</w:t>
      </w:r>
      <w:r>
        <w:rPr>
          <w:rFonts w:asciiTheme="majorBidi" w:eastAsiaTheme="minorHAnsi" w:hAnsiTheme="majorBidi" w:cstheme="majorBidi"/>
          <w:vertAlign w:val="subscript"/>
        </w:rPr>
        <w:t>ACPI</w:t>
      </w:r>
      <w:r>
        <w:rPr>
          <w:rFonts w:asciiTheme="majorBidi" w:eastAsiaTheme="minorHAnsi" w:hAnsiTheme="majorBidi" w:cstheme="majorBidi"/>
        </w:rPr>
        <w:t xml:space="preserve">. </w:t>
      </w:r>
    </w:p>
    <w:p w:rsidR="00270EA0" w:rsidRDefault="00270EA0" w:rsidP="002B3430">
      <w:pPr>
        <w:spacing w:line="480" w:lineRule="auto"/>
        <w:rPr>
          <w:b/>
          <w:bCs/>
        </w:rPr>
      </w:pPr>
    </w:p>
    <w:p w:rsidR="00270EA0" w:rsidRPr="00270EA0" w:rsidRDefault="00270EA0" w:rsidP="002B3430">
      <w:pPr>
        <w:spacing w:line="480" w:lineRule="auto"/>
        <w:rPr>
          <w:b/>
          <w:bCs/>
        </w:rPr>
      </w:pPr>
    </w:p>
    <w:p w:rsidR="00931BF5" w:rsidRDefault="00931BF5">
      <w:pPr>
        <w:spacing w:after="200" w:line="276" w:lineRule="auto"/>
      </w:pPr>
      <w:r>
        <w:br w:type="page"/>
      </w:r>
    </w:p>
    <w:p w:rsidR="00340218" w:rsidRPr="00A31F06" w:rsidRDefault="00931BF5" w:rsidP="003543BC">
      <w:pPr>
        <w:spacing w:line="480" w:lineRule="auto"/>
        <w:jc w:val="center"/>
        <w:rPr>
          <w:b/>
          <w:bCs/>
        </w:rPr>
      </w:pPr>
      <w:r w:rsidRPr="00A31F06">
        <w:rPr>
          <w:b/>
          <w:bCs/>
        </w:rPr>
        <w:lastRenderedPageBreak/>
        <w:t xml:space="preserve">Results </w:t>
      </w:r>
      <w:r w:rsidR="003543BC">
        <w:rPr>
          <w:b/>
          <w:bCs/>
        </w:rPr>
        <w:t>and</w:t>
      </w:r>
      <w:r w:rsidRPr="00A31F06">
        <w:rPr>
          <w:b/>
          <w:bCs/>
        </w:rPr>
        <w:t xml:space="preserve"> </w:t>
      </w:r>
      <w:r w:rsidR="003543BC">
        <w:rPr>
          <w:b/>
          <w:bCs/>
        </w:rPr>
        <w:t>D</w:t>
      </w:r>
      <w:r w:rsidRPr="00A31F06">
        <w:rPr>
          <w:b/>
          <w:bCs/>
        </w:rPr>
        <w:t>iscussion</w:t>
      </w:r>
    </w:p>
    <w:p w:rsidR="00931BF5" w:rsidRDefault="00931BF5" w:rsidP="00931BF5">
      <w:pPr>
        <w:spacing w:line="480" w:lineRule="auto"/>
      </w:pPr>
      <w:r>
        <w:t>The analysis has done in the following way in order to test</w:t>
      </w:r>
      <w:r w:rsidR="00B70F58">
        <w:t xml:space="preserve"> which has the ability to stabilize the purchasing power more after 1971,</w:t>
      </w:r>
      <w:r w:rsidR="00802E10">
        <w:t xml:space="preserve"> </w:t>
      </w:r>
      <w:r w:rsidR="00B70F58">
        <w:t>the gold or the country's currency in the following</w:t>
      </w:r>
      <w:r w:rsidR="00802E10">
        <w:t xml:space="preserve"> countries (USA, UK, Japan, and Australia)</w:t>
      </w:r>
      <w:r w:rsidR="00B70F58">
        <w:t>.</w:t>
      </w:r>
    </w:p>
    <w:p w:rsidR="00B70F58" w:rsidRDefault="00B70F58" w:rsidP="00931BF5">
      <w:pPr>
        <w:spacing w:line="480" w:lineRule="auto"/>
      </w:pPr>
    </w:p>
    <w:p w:rsidR="00B70F58" w:rsidRDefault="00B70F58" w:rsidP="00B70F58">
      <w:pPr>
        <w:pStyle w:val="ListParagraph"/>
        <w:numPr>
          <w:ilvl w:val="0"/>
          <w:numId w:val="10"/>
        </w:numPr>
        <w:spacing w:line="480" w:lineRule="auto"/>
      </w:pPr>
      <w:r>
        <w:t xml:space="preserve">The </w:t>
      </w:r>
      <w:r w:rsidR="00D619EC">
        <w:t>MIR and the MAIR :</w:t>
      </w:r>
    </w:p>
    <w:p w:rsidR="00122504" w:rsidRDefault="00067674" w:rsidP="00067674">
      <w:pPr>
        <w:spacing w:line="480" w:lineRule="auto"/>
      </w:pPr>
      <w:r>
        <w:t xml:space="preserve">                        Figure (1).</w:t>
      </w:r>
    </w:p>
    <w:p w:rsidR="000047A4" w:rsidRDefault="000047A4" w:rsidP="000047A4">
      <w:pPr>
        <w:pStyle w:val="ListParagraph"/>
        <w:spacing w:line="480" w:lineRule="auto"/>
        <w:ind w:left="1080"/>
      </w:pPr>
      <w:r>
        <w:rPr>
          <w:noProof/>
        </w:rPr>
        <w:drawing>
          <wp:inline distT="0" distB="0" distL="0" distR="0">
            <wp:extent cx="5277042" cy="1949570"/>
            <wp:effectExtent l="19050" t="0" r="18858"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B0EA2" w:rsidRDefault="00AB0EA2" w:rsidP="00683348">
      <w:pPr>
        <w:pStyle w:val="ListParagraph"/>
        <w:spacing w:line="480" w:lineRule="auto"/>
        <w:ind w:left="1080"/>
      </w:pPr>
    </w:p>
    <w:p w:rsidR="00665923" w:rsidRDefault="00AB0EA2" w:rsidP="00683348">
      <w:pPr>
        <w:pStyle w:val="ListParagraph"/>
        <w:spacing w:line="480" w:lineRule="auto"/>
        <w:ind w:left="1080"/>
      </w:pPr>
      <w:r>
        <w:t>As we can see,</w:t>
      </w:r>
      <w:r w:rsidR="00E10BA3">
        <w:t xml:space="preserve"> the mean of inflation was range from (3.1%) in Japan to (6.91%) in the UK, </w:t>
      </w:r>
      <w:r w:rsidR="001324F1">
        <w:t>while</w:t>
      </w:r>
      <w:r w:rsidR="00E10BA3">
        <w:t xml:space="preserve"> the mean of adjusted inflation was rang from</w:t>
      </w:r>
    </w:p>
    <w:p w:rsidR="00397164" w:rsidRDefault="00E10BA3" w:rsidP="00683348">
      <w:pPr>
        <w:pStyle w:val="ListParagraph"/>
        <w:spacing w:line="480" w:lineRule="auto"/>
        <w:ind w:left="1080"/>
      </w:pPr>
      <w:r>
        <w:t xml:space="preserve"> (-1.79%) in the USA to (0.1%) in the Japan.</w:t>
      </w:r>
    </w:p>
    <w:p w:rsidR="00E10BA3" w:rsidRDefault="003103C6" w:rsidP="00E10BA3">
      <w:pPr>
        <w:pStyle w:val="ListParagraph"/>
        <w:spacing w:line="480" w:lineRule="auto"/>
        <w:ind w:left="1080"/>
      </w:pPr>
      <w:r>
        <w:t>T</w:t>
      </w:r>
      <w:r w:rsidR="00E10BA3">
        <w:t>he mean of adjusted inflation was lower than the mean of inflation in all countries, which refer to the ability of gold to bring much more price stability in all countries for long run.</w:t>
      </w:r>
    </w:p>
    <w:p w:rsidR="003103C6" w:rsidRDefault="00811269" w:rsidP="003103C6">
      <w:pPr>
        <w:spacing w:line="480" w:lineRule="auto"/>
        <w:ind w:left="720"/>
      </w:pPr>
      <w:r>
        <w:t xml:space="preserve"> Thus, we can reject the null hypothesis H0, and confirm the alternative hypothesis H1 for all countries.</w:t>
      </w:r>
      <w:r w:rsidR="003103C6">
        <w:t xml:space="preserve"> </w:t>
      </w:r>
    </w:p>
    <w:p w:rsidR="003103C6" w:rsidRDefault="003103C6" w:rsidP="00E10BA3">
      <w:pPr>
        <w:pStyle w:val="ListParagraph"/>
        <w:spacing w:line="480" w:lineRule="auto"/>
        <w:ind w:left="1080"/>
      </w:pPr>
    </w:p>
    <w:p w:rsidR="003103C6" w:rsidRDefault="003103C6" w:rsidP="00E10BA3">
      <w:pPr>
        <w:pStyle w:val="ListParagraph"/>
        <w:spacing w:line="480" w:lineRule="auto"/>
        <w:ind w:left="1080"/>
      </w:pPr>
    </w:p>
    <w:p w:rsidR="00533B78" w:rsidRDefault="0081509F" w:rsidP="00533B78">
      <w:pPr>
        <w:pStyle w:val="ListParagraph"/>
        <w:spacing w:line="480" w:lineRule="auto"/>
        <w:ind w:left="1080"/>
        <w:rPr>
          <w:rFonts w:asciiTheme="majorBidi" w:eastAsiaTheme="minorHAnsi" w:hAnsiTheme="majorBidi" w:cstheme="majorBidi"/>
        </w:rPr>
      </w:pPr>
      <w:r>
        <w:lastRenderedPageBreak/>
        <w:t>This conclusion support</w:t>
      </w:r>
      <w:r w:rsidR="00DC39DC">
        <w:t xml:space="preserve">s </w:t>
      </w:r>
      <w:r w:rsidR="00533B78" w:rsidRPr="00132BC4">
        <w:rPr>
          <w:rFonts w:ascii="CMR12" w:eastAsiaTheme="minorHAnsi" w:hAnsi="CMR12" w:cs="CMR12"/>
        </w:rPr>
        <w:t>Grytten</w:t>
      </w:r>
      <w:r w:rsidR="00E500DB">
        <w:rPr>
          <w:rFonts w:ascii="CMSY10" w:eastAsiaTheme="minorHAnsi" w:hAnsi="CMSY10" w:cs="CMSY10"/>
        </w:rPr>
        <w:t xml:space="preserve"> and</w:t>
      </w:r>
      <w:r w:rsidR="00533B78" w:rsidRPr="00132BC4">
        <w:rPr>
          <w:rFonts w:ascii="CMR12" w:eastAsiaTheme="minorHAnsi" w:hAnsi="CMR12" w:cs="CMR12"/>
        </w:rPr>
        <w:t xml:space="preserve"> Hunnes</w:t>
      </w:r>
      <w:r w:rsidR="00533B78" w:rsidRPr="00132BC4">
        <w:rPr>
          <w:rFonts w:ascii="CMSY10" w:eastAsiaTheme="minorHAnsi" w:hAnsi="CMSY10" w:cs="CMSY10"/>
        </w:rPr>
        <w:t>y</w:t>
      </w:r>
      <w:r w:rsidR="00533B78">
        <w:rPr>
          <w:rFonts w:eastAsiaTheme="minorHAnsi"/>
        </w:rPr>
        <w:t xml:space="preserve"> (2009) research results which studied </w:t>
      </w:r>
      <w:r w:rsidR="00533B78">
        <w:rPr>
          <w:rFonts w:asciiTheme="majorBidi" w:eastAsiaTheme="minorHAnsi" w:hAnsiTheme="majorBidi" w:cstheme="majorBidi"/>
        </w:rPr>
        <w:t>i</w:t>
      </w:r>
      <w:r w:rsidR="00533B78" w:rsidRPr="009A3C59">
        <w:rPr>
          <w:rFonts w:asciiTheme="majorBidi" w:eastAsiaTheme="minorHAnsi" w:hAnsiTheme="majorBidi" w:cstheme="majorBidi"/>
        </w:rPr>
        <w:t xml:space="preserve">n the 1870s </w:t>
      </w:r>
      <w:r w:rsidR="00811269">
        <w:rPr>
          <w:rFonts w:asciiTheme="majorBidi" w:eastAsiaTheme="minorHAnsi" w:hAnsiTheme="majorBidi" w:cstheme="majorBidi"/>
        </w:rPr>
        <w:t>,</w:t>
      </w:r>
      <w:r w:rsidR="00533B78" w:rsidRPr="009A3C59">
        <w:rPr>
          <w:rFonts w:asciiTheme="majorBidi" w:eastAsiaTheme="minorHAnsi" w:hAnsiTheme="majorBidi" w:cstheme="majorBidi"/>
        </w:rPr>
        <w:t>the three Scandinavian countries Denmark, Norway</w:t>
      </w:r>
      <w:r w:rsidR="001324F1">
        <w:rPr>
          <w:rFonts w:asciiTheme="majorBidi" w:eastAsiaTheme="minorHAnsi" w:hAnsiTheme="majorBidi" w:cstheme="majorBidi"/>
        </w:rPr>
        <w:t xml:space="preserve"> </w:t>
      </w:r>
      <w:r w:rsidR="00533B78" w:rsidRPr="009A3C59">
        <w:rPr>
          <w:rFonts w:asciiTheme="majorBidi" w:eastAsiaTheme="minorHAnsi" w:hAnsiTheme="majorBidi" w:cstheme="majorBidi"/>
        </w:rPr>
        <w:t xml:space="preserve">and Sweden formed </w:t>
      </w:r>
      <w:r w:rsidR="00533B78">
        <w:rPr>
          <w:rFonts w:asciiTheme="majorBidi" w:eastAsiaTheme="minorHAnsi" w:hAnsiTheme="majorBidi" w:cstheme="majorBidi"/>
        </w:rPr>
        <w:t>the Scandinavian Currency Union, and it conclude</w:t>
      </w:r>
      <w:r w:rsidR="001324F1">
        <w:rPr>
          <w:rFonts w:asciiTheme="majorBidi" w:eastAsiaTheme="minorHAnsi" w:hAnsiTheme="majorBidi" w:cstheme="majorBidi"/>
        </w:rPr>
        <w:t>s</w:t>
      </w:r>
      <w:r w:rsidR="00533B78">
        <w:rPr>
          <w:rFonts w:asciiTheme="majorBidi" w:eastAsiaTheme="minorHAnsi" w:hAnsiTheme="majorBidi" w:cstheme="majorBidi"/>
        </w:rPr>
        <w:t xml:space="preserve"> that the long run price stability in every county when they were under the gold standard,  was better</w:t>
      </w:r>
      <w:r w:rsidR="001324F1">
        <w:rPr>
          <w:rFonts w:asciiTheme="majorBidi" w:eastAsiaTheme="minorHAnsi" w:hAnsiTheme="majorBidi" w:cstheme="majorBidi"/>
        </w:rPr>
        <w:t xml:space="preserve"> than when they were under the </w:t>
      </w:r>
      <w:r w:rsidR="00533B78">
        <w:rPr>
          <w:rFonts w:asciiTheme="majorBidi" w:eastAsiaTheme="minorHAnsi" w:hAnsiTheme="majorBidi" w:cstheme="majorBidi"/>
        </w:rPr>
        <w:t xml:space="preserve"> than fiat money system.</w:t>
      </w:r>
    </w:p>
    <w:p w:rsidR="00533B78" w:rsidRDefault="00811269" w:rsidP="00533B78">
      <w:pPr>
        <w:pStyle w:val="ListParagraph"/>
        <w:spacing w:line="480" w:lineRule="auto"/>
        <w:ind w:left="1080"/>
        <w:rPr>
          <w:rFonts w:asciiTheme="majorBidi" w:eastAsiaTheme="minorHAnsi" w:hAnsiTheme="majorBidi" w:cstheme="majorBidi"/>
        </w:rPr>
      </w:pPr>
      <w:r>
        <w:rPr>
          <w:rFonts w:asciiTheme="majorBidi" w:eastAsiaTheme="minorHAnsi" w:hAnsiTheme="majorBidi" w:cstheme="majorBidi"/>
        </w:rPr>
        <w:t xml:space="preserve"> T</w:t>
      </w:r>
      <w:r w:rsidR="00533B78">
        <w:rPr>
          <w:rFonts w:asciiTheme="majorBidi" w:eastAsiaTheme="minorHAnsi" w:hAnsiTheme="majorBidi" w:cstheme="majorBidi"/>
        </w:rPr>
        <w:t>he mean of inflation</w:t>
      </w:r>
      <w:r w:rsidR="00D733DC">
        <w:rPr>
          <w:rFonts w:asciiTheme="majorBidi" w:eastAsiaTheme="minorHAnsi" w:hAnsiTheme="majorBidi" w:cstheme="majorBidi"/>
        </w:rPr>
        <w:t xml:space="preserve"> in that research</w:t>
      </w:r>
      <w:r w:rsidR="00533B78">
        <w:rPr>
          <w:rFonts w:asciiTheme="majorBidi" w:eastAsiaTheme="minorHAnsi" w:hAnsiTheme="majorBidi" w:cstheme="majorBidi"/>
        </w:rPr>
        <w:t xml:space="preserve"> was </w:t>
      </w:r>
      <w:r w:rsidR="00E002D3">
        <w:rPr>
          <w:rFonts w:asciiTheme="majorBidi" w:eastAsiaTheme="minorHAnsi" w:hAnsiTheme="majorBidi" w:cstheme="majorBidi"/>
        </w:rPr>
        <w:t>range from 0% in Denmark to 0.25% in Sweden when they where un</w:t>
      </w:r>
      <w:r w:rsidR="001324F1">
        <w:rPr>
          <w:rFonts w:asciiTheme="majorBidi" w:eastAsiaTheme="minorHAnsi" w:hAnsiTheme="majorBidi" w:cstheme="majorBidi"/>
        </w:rPr>
        <w:t>der the gold standard, while</w:t>
      </w:r>
      <w:r w:rsidR="00E002D3">
        <w:rPr>
          <w:rFonts w:asciiTheme="majorBidi" w:eastAsiaTheme="minorHAnsi" w:hAnsiTheme="majorBidi" w:cstheme="majorBidi"/>
        </w:rPr>
        <w:t xml:space="preserve"> the mean of inflation was range from </w:t>
      </w:r>
      <w:r w:rsidR="00346D9D">
        <w:rPr>
          <w:rFonts w:asciiTheme="majorBidi" w:eastAsiaTheme="minorHAnsi" w:hAnsiTheme="majorBidi" w:cstheme="majorBidi"/>
        </w:rPr>
        <w:t>4.96% in Norway to 5.08% in Sweden</w:t>
      </w:r>
      <w:r w:rsidR="001324F1">
        <w:rPr>
          <w:rFonts w:asciiTheme="majorBidi" w:eastAsiaTheme="minorHAnsi" w:hAnsiTheme="majorBidi" w:cstheme="majorBidi"/>
        </w:rPr>
        <w:t xml:space="preserve"> under the fiat money system</w:t>
      </w:r>
      <w:r w:rsidR="00346D9D">
        <w:rPr>
          <w:rFonts w:asciiTheme="majorBidi" w:eastAsiaTheme="minorHAnsi" w:hAnsiTheme="majorBidi" w:cstheme="majorBidi"/>
        </w:rPr>
        <w:t>.</w:t>
      </w:r>
    </w:p>
    <w:p w:rsidR="00F400B9" w:rsidRPr="001324F1" w:rsidRDefault="00F400B9" w:rsidP="001324F1">
      <w:pPr>
        <w:pStyle w:val="ListParagraph"/>
        <w:spacing w:line="480" w:lineRule="auto"/>
        <w:ind w:left="1080"/>
        <w:rPr>
          <w:rFonts w:asciiTheme="majorBidi" w:eastAsiaTheme="minorHAnsi" w:hAnsiTheme="majorBidi" w:cstheme="majorBidi"/>
        </w:rPr>
      </w:pPr>
      <w:r>
        <w:rPr>
          <w:rFonts w:asciiTheme="majorBidi" w:eastAsiaTheme="minorHAnsi" w:hAnsiTheme="majorBidi" w:cstheme="majorBidi"/>
        </w:rPr>
        <w:t>This result also support</w:t>
      </w:r>
      <w:r w:rsidR="00E500DB">
        <w:rPr>
          <w:rFonts w:asciiTheme="majorBidi" w:eastAsiaTheme="minorHAnsi" w:hAnsiTheme="majorBidi" w:cstheme="majorBidi"/>
        </w:rPr>
        <w:t xml:space="preserve"> </w:t>
      </w:r>
      <w:r w:rsidRPr="00F400B9">
        <w:t>Bordo</w:t>
      </w:r>
      <w:r w:rsidR="00DF3E59">
        <w:rPr>
          <w:rFonts w:asciiTheme="majorBidi" w:eastAsiaTheme="minorHAnsi" w:hAnsiTheme="majorBidi" w:cstheme="majorBidi"/>
        </w:rPr>
        <w:t xml:space="preserve"> </w:t>
      </w:r>
      <w:r w:rsidR="003D6594">
        <w:rPr>
          <w:rFonts w:asciiTheme="majorBidi" w:eastAsiaTheme="minorHAnsi" w:hAnsiTheme="majorBidi" w:cstheme="majorBidi"/>
        </w:rPr>
        <w:t>(2003</w:t>
      </w:r>
      <w:r w:rsidR="004849EE">
        <w:rPr>
          <w:rFonts w:asciiTheme="majorBidi" w:eastAsiaTheme="minorHAnsi" w:hAnsiTheme="majorBidi" w:cstheme="majorBidi"/>
        </w:rPr>
        <w:t>)</w:t>
      </w:r>
      <w:r w:rsidR="00D733DC">
        <w:rPr>
          <w:rFonts w:asciiTheme="majorBidi" w:eastAsiaTheme="minorHAnsi" w:hAnsiTheme="majorBidi" w:cstheme="majorBidi"/>
        </w:rPr>
        <w:t xml:space="preserve"> research results which studied the long run price stability in the USA under the gold standard and </w:t>
      </w:r>
      <w:r w:rsidR="001324F1">
        <w:rPr>
          <w:rFonts w:asciiTheme="majorBidi" w:eastAsiaTheme="minorHAnsi" w:hAnsiTheme="majorBidi" w:cstheme="majorBidi"/>
        </w:rPr>
        <w:t xml:space="preserve">the </w:t>
      </w:r>
      <w:r w:rsidR="00D733DC">
        <w:rPr>
          <w:rFonts w:asciiTheme="majorBidi" w:eastAsiaTheme="minorHAnsi" w:hAnsiTheme="majorBidi" w:cstheme="majorBidi"/>
        </w:rPr>
        <w:t>fiat money,</w:t>
      </w:r>
      <w:r w:rsidR="001324F1" w:rsidRPr="001324F1">
        <w:rPr>
          <w:rFonts w:asciiTheme="majorBidi" w:eastAsiaTheme="minorHAnsi" w:hAnsiTheme="majorBidi" w:cstheme="majorBidi"/>
        </w:rPr>
        <w:t xml:space="preserve"> </w:t>
      </w:r>
      <w:r w:rsidR="001324F1">
        <w:rPr>
          <w:rFonts w:asciiTheme="majorBidi" w:eastAsiaTheme="minorHAnsi" w:hAnsiTheme="majorBidi" w:cstheme="majorBidi"/>
        </w:rPr>
        <w:t>by comparing the mean of inflation under gold standard which was 0.1% and the mean of inflation under the fiat money which was 4.2%. So, i</w:t>
      </w:r>
      <w:r w:rsidR="00D733DC" w:rsidRPr="001324F1">
        <w:rPr>
          <w:rFonts w:asciiTheme="majorBidi" w:eastAsiaTheme="minorHAnsi" w:hAnsiTheme="majorBidi" w:cstheme="majorBidi"/>
        </w:rPr>
        <w:t>t concludes that the gold standard has the ability to bring muc</w:t>
      </w:r>
      <w:r w:rsidR="001324F1" w:rsidRPr="001324F1">
        <w:rPr>
          <w:rFonts w:asciiTheme="majorBidi" w:eastAsiaTheme="minorHAnsi" w:hAnsiTheme="majorBidi" w:cstheme="majorBidi"/>
        </w:rPr>
        <w:t>h more long run price stability than the fiat money system.</w:t>
      </w:r>
    </w:p>
    <w:p w:rsidR="001324F1" w:rsidRDefault="00811269" w:rsidP="00533B78">
      <w:pPr>
        <w:pStyle w:val="ListParagraph"/>
        <w:spacing w:line="480" w:lineRule="auto"/>
        <w:ind w:left="1080"/>
        <w:rPr>
          <w:rFonts w:asciiTheme="majorBidi" w:eastAsiaTheme="minorHAnsi" w:hAnsiTheme="majorBidi" w:cstheme="majorBidi"/>
        </w:rPr>
      </w:pPr>
      <w:r>
        <w:rPr>
          <w:rFonts w:asciiTheme="majorBidi" w:eastAsiaTheme="minorHAnsi" w:hAnsiTheme="majorBidi" w:cstheme="majorBidi"/>
        </w:rPr>
        <w:t>According to our research</w:t>
      </w:r>
      <w:r w:rsidR="001324F1">
        <w:rPr>
          <w:rFonts w:asciiTheme="majorBidi" w:eastAsiaTheme="minorHAnsi" w:hAnsiTheme="majorBidi" w:cstheme="majorBidi"/>
        </w:rPr>
        <w:t xml:space="preserve"> result and the previous research results, we can have a strong conclusion that the gold</w:t>
      </w:r>
      <w:r w:rsidR="00AB0EA2">
        <w:rPr>
          <w:rFonts w:asciiTheme="majorBidi" w:eastAsiaTheme="minorHAnsi" w:hAnsiTheme="majorBidi" w:cstheme="majorBidi"/>
        </w:rPr>
        <w:t xml:space="preserve"> still</w:t>
      </w:r>
      <w:r w:rsidR="001324F1">
        <w:rPr>
          <w:rFonts w:asciiTheme="majorBidi" w:eastAsiaTheme="minorHAnsi" w:hAnsiTheme="majorBidi" w:cstheme="majorBidi"/>
        </w:rPr>
        <w:t xml:space="preserve"> has the ability to stabilize the purchasing power more than the fiat money system in the long run</w:t>
      </w:r>
      <w:r w:rsidR="00665923">
        <w:rPr>
          <w:rFonts w:asciiTheme="majorBidi" w:eastAsiaTheme="minorHAnsi" w:hAnsiTheme="majorBidi" w:cstheme="majorBidi"/>
        </w:rPr>
        <w:t xml:space="preserve"> after 1971 when the Bretton Woods A</w:t>
      </w:r>
      <w:r w:rsidR="004A0EAF">
        <w:rPr>
          <w:rFonts w:asciiTheme="majorBidi" w:eastAsiaTheme="minorHAnsi" w:hAnsiTheme="majorBidi" w:cstheme="majorBidi"/>
        </w:rPr>
        <w:t>greement ended</w:t>
      </w:r>
      <w:r w:rsidR="001324F1">
        <w:rPr>
          <w:rFonts w:asciiTheme="majorBidi" w:eastAsiaTheme="minorHAnsi" w:hAnsiTheme="majorBidi" w:cstheme="majorBidi"/>
        </w:rPr>
        <w:t>.</w:t>
      </w:r>
    </w:p>
    <w:p w:rsidR="00F400B9" w:rsidRDefault="00F400B9" w:rsidP="00533B78">
      <w:pPr>
        <w:pStyle w:val="ListParagraph"/>
        <w:spacing w:line="480" w:lineRule="auto"/>
        <w:ind w:left="1080"/>
        <w:rPr>
          <w:rFonts w:asciiTheme="majorBidi" w:eastAsiaTheme="minorHAnsi" w:hAnsiTheme="majorBidi" w:cstheme="majorBidi"/>
        </w:rPr>
      </w:pPr>
    </w:p>
    <w:p w:rsidR="001324F1" w:rsidRDefault="001324F1" w:rsidP="00533B78">
      <w:pPr>
        <w:pStyle w:val="ListParagraph"/>
        <w:spacing w:line="480" w:lineRule="auto"/>
        <w:ind w:left="1080"/>
        <w:rPr>
          <w:rFonts w:asciiTheme="majorBidi" w:eastAsiaTheme="minorHAnsi" w:hAnsiTheme="majorBidi" w:cstheme="majorBidi"/>
        </w:rPr>
      </w:pPr>
    </w:p>
    <w:p w:rsidR="001324F1" w:rsidRDefault="001324F1" w:rsidP="00533B78">
      <w:pPr>
        <w:pStyle w:val="ListParagraph"/>
        <w:spacing w:line="480" w:lineRule="auto"/>
        <w:ind w:left="1080"/>
        <w:rPr>
          <w:rFonts w:asciiTheme="majorBidi" w:eastAsiaTheme="minorHAnsi" w:hAnsiTheme="majorBidi" w:cstheme="majorBidi"/>
        </w:rPr>
      </w:pPr>
    </w:p>
    <w:p w:rsidR="001324F1" w:rsidRDefault="001324F1" w:rsidP="00533B78">
      <w:pPr>
        <w:pStyle w:val="ListParagraph"/>
        <w:spacing w:line="480" w:lineRule="auto"/>
        <w:ind w:left="1080"/>
        <w:rPr>
          <w:rFonts w:asciiTheme="majorBidi" w:eastAsiaTheme="minorHAnsi" w:hAnsiTheme="majorBidi" w:cstheme="majorBidi"/>
        </w:rPr>
      </w:pPr>
    </w:p>
    <w:p w:rsidR="001324F1" w:rsidRDefault="001324F1" w:rsidP="00533B78">
      <w:pPr>
        <w:pStyle w:val="ListParagraph"/>
        <w:spacing w:line="480" w:lineRule="auto"/>
        <w:ind w:left="1080"/>
        <w:rPr>
          <w:rFonts w:asciiTheme="majorBidi" w:eastAsiaTheme="minorHAnsi" w:hAnsiTheme="majorBidi" w:cstheme="majorBidi"/>
        </w:rPr>
      </w:pPr>
    </w:p>
    <w:p w:rsidR="001324F1" w:rsidRDefault="001324F1" w:rsidP="00533B78">
      <w:pPr>
        <w:pStyle w:val="ListParagraph"/>
        <w:spacing w:line="480" w:lineRule="auto"/>
        <w:ind w:left="1080"/>
        <w:rPr>
          <w:rFonts w:asciiTheme="majorBidi" w:eastAsiaTheme="minorHAnsi" w:hAnsiTheme="majorBidi" w:cstheme="majorBidi"/>
        </w:rPr>
      </w:pPr>
    </w:p>
    <w:p w:rsidR="00DA5D49" w:rsidRDefault="00DA5D49" w:rsidP="00CD6A44">
      <w:pPr>
        <w:pStyle w:val="ListParagraph"/>
        <w:numPr>
          <w:ilvl w:val="0"/>
          <w:numId w:val="10"/>
        </w:numPr>
        <w:autoSpaceDE w:val="0"/>
        <w:autoSpaceDN w:val="0"/>
        <w:adjustRightInd w:val="0"/>
        <w:spacing w:line="480" w:lineRule="auto"/>
      </w:pPr>
      <w:r>
        <w:t>The CV</w:t>
      </w:r>
      <w:r w:rsidRPr="00CD6A44">
        <w:rPr>
          <w:vertAlign w:val="subscript"/>
        </w:rPr>
        <w:t xml:space="preserve">IR </w:t>
      </w:r>
      <w:r>
        <w:t>and the CV</w:t>
      </w:r>
      <w:r w:rsidRPr="00CD6A44">
        <w:rPr>
          <w:vertAlign w:val="subscript"/>
        </w:rPr>
        <w:t>AIR</w:t>
      </w:r>
      <w:r>
        <w:t>:</w:t>
      </w:r>
    </w:p>
    <w:p w:rsidR="00B4400B" w:rsidRDefault="00067674" w:rsidP="00DA5D49">
      <w:pPr>
        <w:pStyle w:val="ListParagraph"/>
        <w:spacing w:line="480" w:lineRule="auto"/>
        <w:ind w:left="1080"/>
      </w:pPr>
      <w:r>
        <w:t xml:space="preserve">     Figure (2).</w:t>
      </w:r>
    </w:p>
    <w:p w:rsidR="00B4400B" w:rsidRDefault="00B4400B" w:rsidP="00DA5D49">
      <w:pPr>
        <w:pStyle w:val="ListParagraph"/>
        <w:spacing w:line="480" w:lineRule="auto"/>
        <w:ind w:left="1080"/>
      </w:pPr>
      <w:r>
        <w:rPr>
          <w:noProof/>
        </w:rPr>
        <w:drawing>
          <wp:inline distT="0" distB="0" distL="0" distR="0">
            <wp:extent cx="5278120" cy="3079115"/>
            <wp:effectExtent l="19050" t="0" r="17780" b="69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CD6A44" w:rsidRDefault="00CD6A44" w:rsidP="00CD6A44">
      <w:pPr>
        <w:spacing w:line="480" w:lineRule="auto"/>
        <w:ind w:left="720"/>
      </w:pPr>
    </w:p>
    <w:p w:rsidR="00CD6A44" w:rsidRDefault="00CD6A44" w:rsidP="00CD6A44">
      <w:pPr>
        <w:spacing w:line="480" w:lineRule="auto"/>
        <w:ind w:left="720"/>
      </w:pPr>
      <w:r>
        <w:t>The coefficient of variati</w:t>
      </w:r>
      <w:r w:rsidR="00067674">
        <w:t>on of the IR was range from 0.656 in the USA to 1.56 in the Japan</w:t>
      </w:r>
      <w:r>
        <w:t xml:space="preserve">, while the coefficient of variation of the AIR was range from 10.98 in the USA to 197.45 in the Japan. </w:t>
      </w:r>
    </w:p>
    <w:p w:rsidR="00005726" w:rsidRDefault="00CD6A44" w:rsidP="00005726">
      <w:pPr>
        <w:spacing w:line="480" w:lineRule="auto"/>
        <w:ind w:left="720"/>
      </w:pPr>
      <w:r>
        <w:t>As we can see</w:t>
      </w:r>
      <w:r w:rsidR="00AB0EA2">
        <w:t>,</w:t>
      </w:r>
      <w:r>
        <w:t xml:space="preserve"> the coefficient of </w:t>
      </w:r>
      <w:r w:rsidR="001A216F">
        <w:t>variation of the IR</w:t>
      </w:r>
      <w:r>
        <w:t xml:space="preserve"> was lower than the</w:t>
      </w:r>
      <w:r w:rsidR="00BE7B1F">
        <w:t xml:space="preserve"> coefficient of variation </w:t>
      </w:r>
      <w:r>
        <w:t xml:space="preserve">of </w:t>
      </w:r>
      <w:r w:rsidR="00BE7B1F">
        <w:t xml:space="preserve">the AIR </w:t>
      </w:r>
      <w:r>
        <w:t xml:space="preserve">in all countries, which refer to the ability of </w:t>
      </w:r>
      <w:r w:rsidR="00BE7B1F">
        <w:t xml:space="preserve">fiat money </w:t>
      </w:r>
      <w:r w:rsidR="00CF7850">
        <w:t xml:space="preserve">representative in our study (US dollar, GBP, Yen, and Australian dollar) </w:t>
      </w:r>
      <w:r w:rsidR="00BE7B1F">
        <w:t>to bring much more price stability than the gold</w:t>
      </w:r>
      <w:r w:rsidR="00005726">
        <w:t xml:space="preserve"> in the short </w:t>
      </w:r>
      <w:r w:rsidR="00BE7B1F">
        <w:t>run.</w:t>
      </w:r>
    </w:p>
    <w:p w:rsidR="00067674" w:rsidRDefault="00067674" w:rsidP="00005726">
      <w:pPr>
        <w:spacing w:line="480" w:lineRule="auto"/>
        <w:ind w:left="720"/>
      </w:pPr>
      <w:r>
        <w:t>Thus, we can reject the null hypothesis H0, and confirm the alternative hypothesis H1 for all countries.</w:t>
      </w:r>
    </w:p>
    <w:p w:rsidR="00005726" w:rsidRDefault="00067674" w:rsidP="003D6594">
      <w:pPr>
        <w:spacing w:line="480" w:lineRule="auto"/>
        <w:ind w:left="720"/>
      </w:pPr>
      <w:r>
        <w:t xml:space="preserve"> </w:t>
      </w:r>
      <w:r w:rsidR="00005726" w:rsidRPr="00005726">
        <w:rPr>
          <w:rFonts w:asciiTheme="majorBidi" w:eastAsiaTheme="minorHAnsi" w:hAnsiTheme="majorBidi" w:cstheme="majorBidi"/>
        </w:rPr>
        <w:t xml:space="preserve">This </w:t>
      </w:r>
      <w:r w:rsidR="00005726">
        <w:rPr>
          <w:rFonts w:asciiTheme="majorBidi" w:eastAsiaTheme="minorHAnsi" w:hAnsiTheme="majorBidi" w:cstheme="majorBidi"/>
        </w:rPr>
        <w:t xml:space="preserve">result </w:t>
      </w:r>
      <w:r w:rsidR="00005726" w:rsidRPr="00005726">
        <w:rPr>
          <w:rFonts w:asciiTheme="majorBidi" w:eastAsiaTheme="minorHAnsi" w:hAnsiTheme="majorBidi" w:cstheme="majorBidi"/>
        </w:rPr>
        <w:t xml:space="preserve">support </w:t>
      </w:r>
      <w:r w:rsidR="00005726" w:rsidRPr="00F400B9">
        <w:t>Bordo</w:t>
      </w:r>
      <w:r w:rsidR="0018098B">
        <w:rPr>
          <w:rFonts w:asciiTheme="majorBidi" w:eastAsiaTheme="minorHAnsi" w:hAnsiTheme="majorBidi" w:cstheme="majorBidi"/>
        </w:rPr>
        <w:t xml:space="preserve"> </w:t>
      </w:r>
      <w:r w:rsidR="00005726" w:rsidRPr="00005726">
        <w:rPr>
          <w:rFonts w:asciiTheme="majorBidi" w:eastAsiaTheme="minorHAnsi" w:hAnsiTheme="majorBidi" w:cstheme="majorBidi"/>
        </w:rPr>
        <w:t>(</w:t>
      </w:r>
      <w:r w:rsidR="003D6594">
        <w:rPr>
          <w:rFonts w:asciiTheme="majorBidi" w:eastAsiaTheme="minorHAnsi" w:hAnsiTheme="majorBidi" w:cstheme="majorBidi"/>
        </w:rPr>
        <w:t>2003</w:t>
      </w:r>
      <w:r w:rsidR="00005726" w:rsidRPr="00005726">
        <w:rPr>
          <w:rFonts w:asciiTheme="majorBidi" w:eastAsiaTheme="minorHAnsi" w:hAnsiTheme="majorBidi" w:cstheme="majorBidi"/>
        </w:rPr>
        <w:t xml:space="preserve">) research </w:t>
      </w:r>
      <w:r w:rsidR="00005726">
        <w:rPr>
          <w:rFonts w:asciiTheme="majorBidi" w:eastAsiaTheme="minorHAnsi" w:hAnsiTheme="majorBidi" w:cstheme="majorBidi"/>
        </w:rPr>
        <w:t>results which studied the short</w:t>
      </w:r>
      <w:r w:rsidR="00005726" w:rsidRPr="00005726">
        <w:rPr>
          <w:rFonts w:asciiTheme="majorBidi" w:eastAsiaTheme="minorHAnsi" w:hAnsiTheme="majorBidi" w:cstheme="majorBidi"/>
        </w:rPr>
        <w:t xml:space="preserve"> run price stability in the USA under the gold standard and the fiat money, by</w:t>
      </w:r>
      <w:r w:rsidR="00005726">
        <w:rPr>
          <w:rFonts w:asciiTheme="majorBidi" w:eastAsiaTheme="minorHAnsi" w:hAnsiTheme="majorBidi" w:cstheme="majorBidi"/>
        </w:rPr>
        <w:t xml:space="preserve"> </w:t>
      </w:r>
      <w:r w:rsidR="00005726">
        <w:rPr>
          <w:rFonts w:asciiTheme="majorBidi" w:eastAsiaTheme="minorHAnsi" w:hAnsiTheme="majorBidi" w:cstheme="majorBidi"/>
        </w:rPr>
        <w:lastRenderedPageBreak/>
        <w:t>comparing the coefficient of variation of IR</w:t>
      </w:r>
      <w:r w:rsidR="00005726" w:rsidRPr="00005726">
        <w:rPr>
          <w:rFonts w:asciiTheme="majorBidi" w:eastAsiaTheme="minorHAnsi" w:hAnsiTheme="majorBidi" w:cstheme="majorBidi"/>
        </w:rPr>
        <w:t xml:space="preserve"> un</w:t>
      </w:r>
      <w:r w:rsidR="00005726">
        <w:rPr>
          <w:rFonts w:asciiTheme="majorBidi" w:eastAsiaTheme="minorHAnsi" w:hAnsiTheme="majorBidi" w:cstheme="majorBidi"/>
        </w:rPr>
        <w:t xml:space="preserve">der gold standard which was (17) and the coefficient of variation of the IR </w:t>
      </w:r>
      <w:r w:rsidR="00005726" w:rsidRPr="00005726">
        <w:rPr>
          <w:rFonts w:asciiTheme="majorBidi" w:eastAsiaTheme="minorHAnsi" w:hAnsiTheme="majorBidi" w:cstheme="majorBidi"/>
        </w:rPr>
        <w:t>under the fiat money</w:t>
      </w:r>
      <w:r w:rsidR="00005726">
        <w:rPr>
          <w:rFonts w:asciiTheme="majorBidi" w:eastAsiaTheme="minorHAnsi" w:hAnsiTheme="majorBidi" w:cstheme="majorBidi"/>
        </w:rPr>
        <w:t xml:space="preserve"> system </w:t>
      </w:r>
      <w:r w:rsidR="00005726" w:rsidRPr="00005726">
        <w:rPr>
          <w:rFonts w:asciiTheme="majorBidi" w:eastAsiaTheme="minorHAnsi" w:hAnsiTheme="majorBidi" w:cstheme="majorBidi"/>
        </w:rPr>
        <w:t xml:space="preserve">which was </w:t>
      </w:r>
      <w:r w:rsidR="00BA6127">
        <w:rPr>
          <w:rFonts w:asciiTheme="majorBidi" w:eastAsiaTheme="minorHAnsi" w:hAnsiTheme="majorBidi" w:cstheme="majorBidi"/>
        </w:rPr>
        <w:t>(0.8)</w:t>
      </w:r>
      <w:r w:rsidR="00005726" w:rsidRPr="00005726">
        <w:rPr>
          <w:rFonts w:asciiTheme="majorBidi" w:eastAsiaTheme="minorHAnsi" w:hAnsiTheme="majorBidi" w:cstheme="majorBidi"/>
        </w:rPr>
        <w:t xml:space="preserve">, it </w:t>
      </w:r>
      <w:r w:rsidR="00BA6127">
        <w:rPr>
          <w:rFonts w:asciiTheme="majorBidi" w:eastAsiaTheme="minorHAnsi" w:hAnsiTheme="majorBidi" w:cstheme="majorBidi"/>
        </w:rPr>
        <w:t xml:space="preserve">concludes that the fiat money system </w:t>
      </w:r>
      <w:r w:rsidR="00005726" w:rsidRPr="00005726">
        <w:rPr>
          <w:rFonts w:asciiTheme="majorBidi" w:eastAsiaTheme="minorHAnsi" w:hAnsiTheme="majorBidi" w:cstheme="majorBidi"/>
        </w:rPr>
        <w:t>has the ability to bring muc</w:t>
      </w:r>
      <w:r w:rsidR="00BA6127">
        <w:rPr>
          <w:rFonts w:asciiTheme="majorBidi" w:eastAsiaTheme="minorHAnsi" w:hAnsiTheme="majorBidi" w:cstheme="majorBidi"/>
        </w:rPr>
        <w:t>h more short</w:t>
      </w:r>
      <w:r w:rsidR="00005726" w:rsidRPr="00005726">
        <w:rPr>
          <w:rFonts w:asciiTheme="majorBidi" w:eastAsiaTheme="minorHAnsi" w:hAnsiTheme="majorBidi" w:cstheme="majorBidi"/>
        </w:rPr>
        <w:t xml:space="preserve"> run pri</w:t>
      </w:r>
      <w:r w:rsidR="00BA6127">
        <w:rPr>
          <w:rFonts w:asciiTheme="majorBidi" w:eastAsiaTheme="minorHAnsi" w:hAnsiTheme="majorBidi" w:cstheme="majorBidi"/>
        </w:rPr>
        <w:t>ce stability than the gold standard</w:t>
      </w:r>
      <w:r w:rsidR="00005726" w:rsidRPr="00005726">
        <w:rPr>
          <w:rFonts w:asciiTheme="majorBidi" w:eastAsiaTheme="minorHAnsi" w:hAnsiTheme="majorBidi" w:cstheme="majorBidi"/>
        </w:rPr>
        <w:t xml:space="preserve"> system.</w:t>
      </w:r>
    </w:p>
    <w:p w:rsidR="000B3F6E" w:rsidRDefault="00A45944" w:rsidP="00005726">
      <w:pPr>
        <w:spacing w:line="480" w:lineRule="auto"/>
        <w:ind w:left="720"/>
      </w:pPr>
      <w:r>
        <w:t>Actually, many</w:t>
      </w:r>
      <w:r w:rsidR="000B3F6E">
        <w:t xml:space="preserve"> economists explained why the gold standard doesn't have the ability to stabilize the purchasing power in the short run.</w:t>
      </w:r>
    </w:p>
    <w:p w:rsidR="000B3F6E" w:rsidRDefault="00A45944" w:rsidP="00005726">
      <w:pPr>
        <w:spacing w:line="480" w:lineRule="auto"/>
        <w:ind w:left="720"/>
      </w:pPr>
      <w:r>
        <w:t>They conclude</w:t>
      </w:r>
      <w:r w:rsidR="000B3F6E">
        <w:t xml:space="preserve"> that the discovery of a new gold mine increases the local supply of gold, but does not affect real outputs in the short run, ther</w:t>
      </w:r>
      <w:r w:rsidR="0017729D">
        <w:t xml:space="preserve">eby raising prices. </w:t>
      </w:r>
    </w:p>
    <w:p w:rsidR="000B3F6E" w:rsidRDefault="000B3F6E" w:rsidP="000B3F6E">
      <w:pPr>
        <w:spacing w:line="480" w:lineRule="auto"/>
        <w:ind w:left="720"/>
      </w:pPr>
      <w:r>
        <w:t xml:space="preserve"> Thus, while inflation rates were low during the period of gold standard, prices could have been unstable. And they named this phenomenon (monetary shock).</w:t>
      </w:r>
    </w:p>
    <w:p w:rsidR="0017729D" w:rsidRDefault="0017729D" w:rsidP="000B3F6E">
      <w:pPr>
        <w:spacing w:line="480" w:lineRule="auto"/>
        <w:ind w:left="720"/>
      </w:pPr>
      <w:r>
        <w:t>We can add nowadays, other explanations to inability of gold</w:t>
      </w:r>
      <w:r w:rsidR="001B26A2">
        <w:t xml:space="preserve"> in the short run</w:t>
      </w:r>
      <w:r>
        <w:t xml:space="preserve"> to stabilize the purchasing power after 1971:</w:t>
      </w:r>
    </w:p>
    <w:p w:rsidR="008D67C9" w:rsidRDefault="008D67C9" w:rsidP="0017729D">
      <w:pPr>
        <w:pStyle w:val="ListParagraph"/>
        <w:numPr>
          <w:ilvl w:val="0"/>
          <w:numId w:val="12"/>
        </w:numPr>
        <w:spacing w:line="480" w:lineRule="auto"/>
      </w:pPr>
      <w:r>
        <w:t xml:space="preserve">People look at gold as </w:t>
      </w:r>
      <w:r w:rsidR="00854342">
        <w:t>an inflation hedge, and increasing the fluctuation of the exchange rate around the world after 1971, leads the people</w:t>
      </w:r>
      <w:r>
        <w:t xml:space="preserve"> to carry gold within the crisis or uncertainties which lead to more fluctuation on the gold price in the short run.</w:t>
      </w:r>
    </w:p>
    <w:p w:rsidR="0017729D" w:rsidRDefault="00A45944" w:rsidP="008D67C9">
      <w:pPr>
        <w:pStyle w:val="ListParagraph"/>
        <w:spacing w:line="480" w:lineRule="auto"/>
        <w:ind w:left="1080"/>
      </w:pPr>
      <w:r>
        <w:t xml:space="preserve"> G</w:t>
      </w:r>
      <w:r w:rsidR="008D67C9">
        <w:t>old nowada</w:t>
      </w:r>
      <w:r w:rsidR="002C008E">
        <w:t>ys go up and down randomly without accompanying in real economic growth.</w:t>
      </w:r>
      <w:r w:rsidR="008D67C9">
        <w:t xml:space="preserve">   </w:t>
      </w:r>
    </w:p>
    <w:p w:rsidR="008D67C9" w:rsidRDefault="008D67C9" w:rsidP="0017729D">
      <w:pPr>
        <w:pStyle w:val="ListParagraph"/>
        <w:numPr>
          <w:ilvl w:val="0"/>
          <w:numId w:val="12"/>
        </w:numPr>
        <w:spacing w:line="480" w:lineRule="auto"/>
      </w:pPr>
      <w:bookmarkStart w:id="2" w:name="OLE_LINK1"/>
      <w:bookmarkStart w:id="3" w:name="OLE_LINK2"/>
      <w:r>
        <w:t xml:space="preserve">Increasing the </w:t>
      </w:r>
      <w:r w:rsidR="00DC0D56">
        <w:t>speculation after 1971 in all currency and commodity including the gold.</w:t>
      </w:r>
    </w:p>
    <w:bookmarkEnd w:id="2"/>
    <w:bookmarkEnd w:id="3"/>
    <w:p w:rsidR="00CD6A44" w:rsidRPr="00E902E1" w:rsidRDefault="00DC0D56" w:rsidP="00E902E1">
      <w:pPr>
        <w:pStyle w:val="ListParagraph"/>
        <w:spacing w:line="480" w:lineRule="auto"/>
        <w:ind w:left="1080"/>
        <w:rPr>
          <w:rFonts w:asciiTheme="majorBidi" w:eastAsiaTheme="minorHAnsi" w:hAnsiTheme="majorBidi" w:cstheme="majorBidi"/>
        </w:rPr>
      </w:pPr>
      <w:r>
        <w:rPr>
          <w:rFonts w:asciiTheme="majorBidi" w:eastAsiaTheme="minorHAnsi" w:hAnsiTheme="majorBidi" w:cstheme="majorBidi"/>
        </w:rPr>
        <w:t>Finally, a</w:t>
      </w:r>
      <w:r w:rsidR="00FA6846">
        <w:rPr>
          <w:rFonts w:asciiTheme="majorBidi" w:eastAsiaTheme="minorHAnsi" w:hAnsiTheme="majorBidi" w:cstheme="majorBidi"/>
        </w:rPr>
        <w:t>ccording to our</w:t>
      </w:r>
      <w:r w:rsidR="00005726">
        <w:rPr>
          <w:rFonts w:asciiTheme="majorBidi" w:eastAsiaTheme="minorHAnsi" w:hAnsiTheme="majorBidi" w:cstheme="majorBidi"/>
        </w:rPr>
        <w:t xml:space="preserve"> research result and the previous research results, we can have a strong conclusion</w:t>
      </w:r>
      <w:r w:rsidR="00BC7118">
        <w:rPr>
          <w:rFonts w:asciiTheme="majorBidi" w:eastAsiaTheme="minorHAnsi" w:hAnsiTheme="majorBidi" w:cstheme="majorBidi"/>
        </w:rPr>
        <w:t xml:space="preserve"> that the fiat money</w:t>
      </w:r>
      <w:r w:rsidR="00005726">
        <w:rPr>
          <w:rFonts w:asciiTheme="majorBidi" w:eastAsiaTheme="minorHAnsi" w:hAnsiTheme="majorBidi" w:cstheme="majorBidi"/>
        </w:rPr>
        <w:t xml:space="preserve"> has the ability to stabilize the purchasing</w:t>
      </w:r>
      <w:r w:rsidR="00BC7118">
        <w:rPr>
          <w:rFonts w:asciiTheme="majorBidi" w:eastAsiaTheme="minorHAnsi" w:hAnsiTheme="majorBidi" w:cstheme="majorBidi"/>
        </w:rPr>
        <w:t xml:space="preserve"> power mo</w:t>
      </w:r>
      <w:r w:rsidR="0018098B">
        <w:rPr>
          <w:rFonts w:asciiTheme="majorBidi" w:eastAsiaTheme="minorHAnsi" w:hAnsiTheme="majorBidi" w:cstheme="majorBidi"/>
        </w:rPr>
        <w:t>re than the gold</w:t>
      </w:r>
      <w:r w:rsidR="00BC7118">
        <w:rPr>
          <w:rFonts w:asciiTheme="majorBidi" w:eastAsiaTheme="minorHAnsi" w:hAnsiTheme="majorBidi" w:cstheme="majorBidi"/>
        </w:rPr>
        <w:t xml:space="preserve"> in the short</w:t>
      </w:r>
      <w:r w:rsidR="00005726">
        <w:rPr>
          <w:rFonts w:asciiTheme="majorBidi" w:eastAsiaTheme="minorHAnsi" w:hAnsiTheme="majorBidi" w:cstheme="majorBidi"/>
        </w:rPr>
        <w:t xml:space="preserve"> run.</w:t>
      </w:r>
    </w:p>
    <w:p w:rsidR="00931BF5" w:rsidRDefault="00230B95" w:rsidP="00E902E1">
      <w:pPr>
        <w:pStyle w:val="ListParagraph"/>
        <w:numPr>
          <w:ilvl w:val="0"/>
          <w:numId w:val="12"/>
        </w:numPr>
        <w:spacing w:line="480" w:lineRule="auto"/>
      </w:pPr>
      <w:r>
        <w:lastRenderedPageBreak/>
        <w:t>The CV</w:t>
      </w:r>
      <w:r w:rsidRPr="00E902E1">
        <w:rPr>
          <w:vertAlign w:val="subscript"/>
        </w:rPr>
        <w:t>CPI</w:t>
      </w:r>
      <w:r>
        <w:t xml:space="preserve"> and the CV</w:t>
      </w:r>
      <w:r w:rsidRPr="00E902E1">
        <w:rPr>
          <w:vertAlign w:val="subscript"/>
        </w:rPr>
        <w:t>ACPI</w:t>
      </w:r>
      <w:r>
        <w:t>:</w:t>
      </w:r>
    </w:p>
    <w:p w:rsidR="00FA6846" w:rsidRDefault="00FA6846" w:rsidP="00CD6A44">
      <w:pPr>
        <w:spacing w:line="480" w:lineRule="auto"/>
        <w:ind w:left="720"/>
      </w:pPr>
      <w:r>
        <w:t xml:space="preserve">     Figure (3).</w:t>
      </w:r>
    </w:p>
    <w:p w:rsidR="00FF20A3" w:rsidRPr="00FF20A3" w:rsidRDefault="00F53CDF" w:rsidP="00BD4F24">
      <w:pPr>
        <w:pStyle w:val="NormalWeb"/>
        <w:spacing w:line="480" w:lineRule="auto"/>
        <w:ind w:left="720"/>
        <w:rPr>
          <w:rFonts w:asciiTheme="majorBidi" w:hAnsiTheme="majorBidi" w:cstheme="majorBidi"/>
          <w:b/>
          <w:bCs/>
        </w:rPr>
      </w:pPr>
      <w:r>
        <w:rPr>
          <w:rFonts w:asciiTheme="majorBidi" w:hAnsiTheme="majorBidi" w:cstheme="majorBidi"/>
          <w:b/>
          <w:bCs/>
          <w:noProof/>
        </w:rPr>
        <w:drawing>
          <wp:inline distT="0" distB="0" distL="0" distR="0">
            <wp:extent cx="5278120" cy="3079115"/>
            <wp:effectExtent l="19050" t="0" r="17780" b="698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CF5198" w:rsidRDefault="00D748E5" w:rsidP="00D748E5">
      <w:pPr>
        <w:spacing w:line="480" w:lineRule="auto"/>
        <w:ind w:left="720"/>
      </w:pPr>
      <w:r>
        <w:t xml:space="preserve">The coefficient of variation of the CPI was </w:t>
      </w:r>
      <w:r w:rsidR="00670447">
        <w:t xml:space="preserve">higher than the coefficient of variation of the ACPI in three countries (USA, UK, </w:t>
      </w:r>
      <w:r w:rsidR="00592267">
        <w:t xml:space="preserve">and </w:t>
      </w:r>
      <w:r w:rsidR="00670447">
        <w:t xml:space="preserve">Australia) which reflect the general ability of gold to stabilize the purchasing power more than the fiat money </w:t>
      </w:r>
      <w:r w:rsidR="00CF5198">
        <w:t>in these countries.</w:t>
      </w:r>
    </w:p>
    <w:p w:rsidR="00FA6846" w:rsidRDefault="00B43114" w:rsidP="00FA6846">
      <w:pPr>
        <w:spacing w:line="480" w:lineRule="auto"/>
        <w:ind w:left="720"/>
      </w:pPr>
      <w:r>
        <w:t>By looking at the curves below:</w:t>
      </w:r>
    </w:p>
    <w:p w:rsidR="00FA6846" w:rsidRDefault="00FA6846" w:rsidP="00D748E5">
      <w:pPr>
        <w:spacing w:line="480" w:lineRule="auto"/>
        <w:ind w:left="720"/>
      </w:pPr>
      <w:r>
        <w:lastRenderedPageBreak/>
        <w:t xml:space="preserve">     Figure (4).</w:t>
      </w:r>
      <w:r w:rsidRPr="00FA6846">
        <w:rPr>
          <w:noProof/>
        </w:rPr>
        <w:t xml:space="preserve"> </w:t>
      </w:r>
      <w:r w:rsidRPr="00B43114">
        <w:rPr>
          <w:noProof/>
        </w:rPr>
        <w:drawing>
          <wp:inline distT="0" distB="0" distL="0" distR="0">
            <wp:extent cx="4854347" cy="2473876"/>
            <wp:effectExtent l="19050" t="0" r="22453" b="2624"/>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FA6846" w:rsidRDefault="00FA6846" w:rsidP="00D748E5">
      <w:pPr>
        <w:spacing w:line="480" w:lineRule="auto"/>
        <w:ind w:left="720"/>
      </w:pPr>
    </w:p>
    <w:p w:rsidR="00FA6846" w:rsidRDefault="00FA6846" w:rsidP="00D748E5">
      <w:pPr>
        <w:spacing w:line="480" w:lineRule="auto"/>
        <w:ind w:left="720"/>
      </w:pPr>
    </w:p>
    <w:p w:rsidR="00FA6846" w:rsidRDefault="00FA6846" w:rsidP="00D748E5">
      <w:pPr>
        <w:spacing w:line="480" w:lineRule="auto"/>
        <w:ind w:left="720"/>
      </w:pPr>
    </w:p>
    <w:p w:rsidR="00FA6846" w:rsidRDefault="00FA6846" w:rsidP="00D748E5">
      <w:pPr>
        <w:spacing w:line="480" w:lineRule="auto"/>
        <w:ind w:left="720"/>
      </w:pPr>
    </w:p>
    <w:p w:rsidR="00B43114" w:rsidRDefault="00FA6846" w:rsidP="00D748E5">
      <w:pPr>
        <w:spacing w:line="480" w:lineRule="auto"/>
        <w:ind w:left="720"/>
      </w:pPr>
      <w:r>
        <w:t xml:space="preserve">     Figure (5).</w:t>
      </w:r>
    </w:p>
    <w:p w:rsidR="00B43114" w:rsidRDefault="00B43114" w:rsidP="00D748E5">
      <w:pPr>
        <w:spacing w:line="480" w:lineRule="auto"/>
        <w:ind w:left="720"/>
      </w:pPr>
      <w:r w:rsidRPr="00B43114">
        <w:rPr>
          <w:noProof/>
        </w:rPr>
        <w:drawing>
          <wp:inline distT="0" distB="0" distL="0" distR="0">
            <wp:extent cx="5087524" cy="2406770"/>
            <wp:effectExtent l="19050" t="0" r="17876"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A6846" w:rsidRDefault="00FA6846" w:rsidP="00D748E5">
      <w:pPr>
        <w:spacing w:line="480" w:lineRule="auto"/>
        <w:ind w:left="720"/>
      </w:pPr>
    </w:p>
    <w:p w:rsidR="00FA6846" w:rsidRDefault="00FA6846" w:rsidP="00D748E5">
      <w:pPr>
        <w:spacing w:line="480" w:lineRule="auto"/>
        <w:ind w:left="720"/>
      </w:pPr>
    </w:p>
    <w:p w:rsidR="00FA6846" w:rsidRDefault="00FA6846" w:rsidP="00D748E5">
      <w:pPr>
        <w:spacing w:line="480" w:lineRule="auto"/>
        <w:ind w:left="720"/>
      </w:pPr>
    </w:p>
    <w:p w:rsidR="00FA6846" w:rsidRDefault="00FA6846" w:rsidP="00D748E5">
      <w:pPr>
        <w:spacing w:line="480" w:lineRule="auto"/>
        <w:ind w:left="720"/>
      </w:pPr>
    </w:p>
    <w:p w:rsidR="00FA6846" w:rsidRDefault="00FA6846" w:rsidP="00D748E5">
      <w:pPr>
        <w:spacing w:line="480" w:lineRule="auto"/>
        <w:ind w:left="720"/>
      </w:pPr>
      <w:r>
        <w:lastRenderedPageBreak/>
        <w:t xml:space="preserve">     Figure (6).</w:t>
      </w:r>
    </w:p>
    <w:p w:rsidR="00B43114" w:rsidRDefault="00FA6846" w:rsidP="00D748E5">
      <w:pPr>
        <w:spacing w:line="480" w:lineRule="auto"/>
        <w:ind w:left="720"/>
      </w:pPr>
      <w:r w:rsidRPr="00B43114">
        <w:rPr>
          <w:noProof/>
        </w:rPr>
        <w:drawing>
          <wp:inline distT="0" distB="0" distL="0" distR="0">
            <wp:extent cx="5087260" cy="2356653"/>
            <wp:effectExtent l="19050" t="0" r="18140" b="5547"/>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B43114" w:rsidRDefault="00B43114" w:rsidP="003E5A57">
      <w:pPr>
        <w:spacing w:line="480" w:lineRule="auto"/>
        <w:ind w:left="720"/>
      </w:pPr>
    </w:p>
    <w:p w:rsidR="00B43114" w:rsidRDefault="00B43114" w:rsidP="00D748E5">
      <w:pPr>
        <w:spacing w:line="480" w:lineRule="auto"/>
        <w:ind w:left="720"/>
      </w:pPr>
    </w:p>
    <w:p w:rsidR="00B43114" w:rsidRDefault="00B43114" w:rsidP="00592267">
      <w:pPr>
        <w:pStyle w:val="ListParagraph"/>
        <w:numPr>
          <w:ilvl w:val="0"/>
          <w:numId w:val="14"/>
        </w:numPr>
        <w:spacing w:line="480" w:lineRule="auto"/>
      </w:pPr>
      <w:r>
        <w:t xml:space="preserve">It is very clear, that the price stability under the GBP, Australian dollar, and US dollar currencies was more stable than under gold commodity after 1971. </w:t>
      </w:r>
    </w:p>
    <w:p w:rsidR="003E5A57" w:rsidRDefault="00FA6846" w:rsidP="003E5A57">
      <w:pPr>
        <w:pStyle w:val="ListParagraph"/>
        <w:spacing w:line="480" w:lineRule="auto"/>
        <w:ind w:left="1080"/>
      </w:pPr>
      <w:r>
        <w:t>Thus</w:t>
      </w:r>
      <w:r w:rsidR="009913E5">
        <w:t>, we can reject the null</w:t>
      </w:r>
      <w:r w:rsidR="003E5A57">
        <w:t xml:space="preserve"> hypothesis</w:t>
      </w:r>
      <w:r w:rsidR="00D07D27">
        <w:t xml:space="preserve"> which related to these currencies (GBP, US dollar, and </w:t>
      </w:r>
      <w:r w:rsidR="00FD48A3">
        <w:t>Australian dollar)</w:t>
      </w:r>
      <w:r w:rsidR="009913E5">
        <w:t xml:space="preserve"> and confirm the alternative hypothesis for these currencies (GBP, US dollar, and Australian dollar).</w:t>
      </w:r>
    </w:p>
    <w:p w:rsidR="003E5A57" w:rsidRDefault="003E5A57" w:rsidP="003E5A57">
      <w:pPr>
        <w:pStyle w:val="ListParagraph"/>
        <w:spacing w:line="480" w:lineRule="auto"/>
        <w:ind w:left="1080"/>
      </w:pPr>
      <w:r>
        <w:t>Thus, the price stability under the gold commodity, are more stable than under GBP, Australian dollar, and US dollar currencies after 1971.</w:t>
      </w:r>
    </w:p>
    <w:p w:rsidR="00B43114" w:rsidRDefault="009913E5" w:rsidP="00592267">
      <w:pPr>
        <w:pStyle w:val="ListParagraph"/>
        <w:spacing w:line="480" w:lineRule="auto"/>
        <w:ind w:left="1080"/>
      </w:pPr>
      <w:r>
        <w:t>T</w:t>
      </w:r>
      <w:r w:rsidR="003E5A57">
        <w:t>he gold has the general ability to stabilize the purchasin</w:t>
      </w:r>
      <w:r w:rsidR="00592267">
        <w:t>g power more than</w:t>
      </w:r>
      <w:r w:rsidR="003E5A57">
        <w:t xml:space="preserve"> </w:t>
      </w:r>
      <w:r w:rsidR="00592267">
        <w:t>these currencies (GBP, Australian dollar, and US dollar)</w:t>
      </w:r>
      <w:r w:rsidR="003E5A57">
        <w:t xml:space="preserve"> after</w:t>
      </w:r>
      <w:r w:rsidR="00592267">
        <w:t xml:space="preserve"> the </w:t>
      </w:r>
      <w:r w:rsidR="00EA1BB7">
        <w:t>ending of Bretton Woods A</w:t>
      </w:r>
      <w:r w:rsidR="00592267">
        <w:t>greement.</w:t>
      </w:r>
    </w:p>
    <w:p w:rsidR="00D6323F" w:rsidRDefault="00592267" w:rsidP="00FD48A3">
      <w:pPr>
        <w:pStyle w:val="ListParagraph"/>
        <w:numPr>
          <w:ilvl w:val="0"/>
          <w:numId w:val="14"/>
        </w:numPr>
        <w:spacing w:line="480" w:lineRule="auto"/>
      </w:pPr>
      <w:r>
        <w:t xml:space="preserve"> O</w:t>
      </w:r>
      <w:r w:rsidR="00D6323F">
        <w:t xml:space="preserve">therwise the coefficient of variation of the CPI was lower than the coefficient of variation of the ACPI in the </w:t>
      </w:r>
      <w:r>
        <w:t>Japan</w:t>
      </w:r>
      <w:r w:rsidR="0009630B">
        <w:t xml:space="preserve">, (0.253), (0.4101) respectively </w:t>
      </w:r>
      <w:r>
        <w:t>(see the general indicator of price stability table)</w:t>
      </w:r>
      <w:r w:rsidR="00D6323F">
        <w:t xml:space="preserve"> which reflect </w:t>
      </w:r>
      <w:r w:rsidR="00D6323F">
        <w:lastRenderedPageBreak/>
        <w:t>the general ability of yen to stabilize the purchasing power more than the gold.</w:t>
      </w:r>
    </w:p>
    <w:p w:rsidR="0009630B" w:rsidRDefault="00406EF5" w:rsidP="0009630B">
      <w:pPr>
        <w:pStyle w:val="ListParagraph"/>
        <w:spacing w:line="480" w:lineRule="auto"/>
        <w:ind w:left="1080"/>
      </w:pPr>
      <w:r>
        <w:t xml:space="preserve"> W</w:t>
      </w:r>
      <w:r w:rsidR="0009630B">
        <w:t>e can</w:t>
      </w:r>
      <w:r>
        <w:t>'t reject the null hypothesis H0</w:t>
      </w:r>
      <w:r w:rsidR="00BA5A12">
        <w:t xml:space="preserve"> and</w:t>
      </w:r>
      <w:r w:rsidR="00156DB9">
        <w:t xml:space="preserve"> can't</w:t>
      </w:r>
      <w:r w:rsidR="00BA5A12">
        <w:t xml:space="preserve"> confirm the alternative hypothesis H1 for the Japan country.</w:t>
      </w:r>
    </w:p>
    <w:p w:rsidR="0009630B" w:rsidRDefault="0009630B" w:rsidP="0009630B">
      <w:pPr>
        <w:pStyle w:val="ListParagraph"/>
        <w:spacing w:line="480" w:lineRule="auto"/>
        <w:ind w:left="1080"/>
      </w:pPr>
      <w:r>
        <w:t>Thus, the price stability under the Yen currency, are more stable than under the gold after 1971.</w:t>
      </w:r>
    </w:p>
    <w:p w:rsidR="00542BF5" w:rsidRDefault="00D6323F" w:rsidP="00AB0EA2">
      <w:pPr>
        <w:spacing w:line="480" w:lineRule="auto"/>
        <w:ind w:left="720"/>
      </w:pPr>
      <w:r>
        <w:t xml:space="preserve">We can </w:t>
      </w:r>
      <w:r w:rsidR="00AB0EA2">
        <w:t>explain</w:t>
      </w:r>
      <w:r>
        <w:t xml:space="preserve"> this result by</w:t>
      </w:r>
      <w:r w:rsidR="00542BF5">
        <w:t>:</w:t>
      </w:r>
    </w:p>
    <w:p w:rsidR="00542BF5" w:rsidRDefault="00A716BE" w:rsidP="00542BF5">
      <w:pPr>
        <w:pStyle w:val="ListParagraph"/>
        <w:numPr>
          <w:ilvl w:val="0"/>
          <w:numId w:val="11"/>
        </w:numPr>
        <w:spacing w:line="480" w:lineRule="auto"/>
      </w:pPr>
      <w:r>
        <w:t>L</w:t>
      </w:r>
      <w:r w:rsidR="00D6323F">
        <w:t>ooking at th</w:t>
      </w:r>
      <w:r w:rsidR="00B57720">
        <w:t>e</w:t>
      </w:r>
      <w:r w:rsidR="00D6323F" w:rsidRPr="00D6323F">
        <w:t xml:space="preserve"> short run price stability</w:t>
      </w:r>
      <w:r w:rsidR="00D6323F">
        <w:t xml:space="preserve"> </w:t>
      </w:r>
      <w:r w:rsidR="00B57720">
        <w:t>table</w:t>
      </w:r>
      <w:r w:rsidR="00542BF5">
        <w:t>:</w:t>
      </w:r>
    </w:p>
    <w:p w:rsidR="00D6323F" w:rsidRDefault="00D6323F" w:rsidP="00542BF5">
      <w:pPr>
        <w:spacing w:line="480" w:lineRule="auto"/>
        <w:ind w:left="720"/>
      </w:pPr>
      <w:r>
        <w:t xml:space="preserve"> </w:t>
      </w:r>
      <w:r w:rsidR="00542BF5">
        <w:t>We</w:t>
      </w:r>
      <w:r>
        <w:t xml:space="preserve"> can see that unlike the USA, UK, and Australia,</w:t>
      </w:r>
      <w:r w:rsidR="00B57720">
        <w:t xml:space="preserve"> the coefficient of variatio</w:t>
      </w:r>
      <w:r w:rsidR="00542BF5">
        <w:t>n of the AIR was extremely high</w:t>
      </w:r>
      <w:r w:rsidR="00B57720">
        <w:t xml:space="preserve"> (197.45) and it differs from the coeffici</w:t>
      </w:r>
      <w:r w:rsidR="00542BF5">
        <w:t>ent of variation of IR (195.89)</w:t>
      </w:r>
      <w:r w:rsidR="00B57720">
        <w:t xml:space="preserve">, while this difference was range from </w:t>
      </w:r>
      <w:r>
        <w:t xml:space="preserve"> </w:t>
      </w:r>
    </w:p>
    <w:p w:rsidR="00542BF5" w:rsidRDefault="00D6323F" w:rsidP="00D748E5">
      <w:pPr>
        <w:spacing w:line="480" w:lineRule="auto"/>
        <w:ind w:left="720"/>
      </w:pPr>
      <w:r>
        <w:t xml:space="preserve">  </w:t>
      </w:r>
      <w:r w:rsidR="00670447">
        <w:t xml:space="preserve"> </w:t>
      </w:r>
      <w:r w:rsidR="00542BF5">
        <w:t xml:space="preserve"> 10.28 In the UK to 13.674 in</w:t>
      </w:r>
      <w:r w:rsidR="00D748E5">
        <w:t xml:space="preserve"> the</w:t>
      </w:r>
      <w:r w:rsidR="00542BF5">
        <w:t xml:space="preserve"> Australia.</w:t>
      </w:r>
    </w:p>
    <w:p w:rsidR="00586A26" w:rsidRDefault="00963EA1" w:rsidP="00D748E5">
      <w:pPr>
        <w:spacing w:line="480" w:lineRule="auto"/>
        <w:ind w:left="720"/>
      </w:pPr>
      <w:r>
        <w:t>2- Looking</w:t>
      </w:r>
      <w:r w:rsidR="00542BF5">
        <w:t xml:space="preserve"> at the long run price stability </w:t>
      </w:r>
      <w:r>
        <w:t>table:</w:t>
      </w:r>
    </w:p>
    <w:p w:rsidR="00201E4A" w:rsidRDefault="00542BF5" w:rsidP="00D748E5">
      <w:pPr>
        <w:spacing w:line="480" w:lineRule="auto"/>
        <w:ind w:left="720"/>
      </w:pPr>
      <w:r>
        <w:t xml:space="preserve"> </w:t>
      </w:r>
      <w:r w:rsidR="00963EA1">
        <w:t>We</w:t>
      </w:r>
      <w:r>
        <w:t xml:space="preserve"> can see </w:t>
      </w:r>
      <w:r w:rsidR="00963EA1">
        <w:t>that unlike the USA, UK, and Australia, the MIR in the Japan was lower than in</w:t>
      </w:r>
      <w:r w:rsidR="00DA2F3F">
        <w:t xml:space="preserve"> the other countries, and also the difference between the MIR and MAIR was lower in the Japa</w:t>
      </w:r>
      <w:r w:rsidR="008C6F1B">
        <w:t>n(0.03</w:t>
      </w:r>
      <w:r w:rsidR="00DA2F3F">
        <w:t>), while it was (0.0604),(0.0839),(0.0747) in the other counties respectively.</w:t>
      </w:r>
    </w:p>
    <w:p w:rsidR="004A0F1D" w:rsidRDefault="00953C43" w:rsidP="00D748E5">
      <w:pPr>
        <w:spacing w:line="480" w:lineRule="auto"/>
        <w:ind w:left="720"/>
      </w:pPr>
      <w:r>
        <w:t>And by</w:t>
      </w:r>
      <w:r w:rsidR="004A0F1D">
        <w:t xml:space="preserve"> loo</w:t>
      </w:r>
      <w:r w:rsidR="00CF5198">
        <w:t>king at the curve below:</w:t>
      </w:r>
    </w:p>
    <w:p w:rsidR="0099043E" w:rsidRDefault="00406EF5" w:rsidP="00D748E5">
      <w:pPr>
        <w:spacing w:line="480" w:lineRule="auto"/>
        <w:ind w:left="720"/>
      </w:pPr>
      <w:r>
        <w:t xml:space="preserve">    </w:t>
      </w:r>
    </w:p>
    <w:p w:rsidR="0099043E" w:rsidRDefault="0099043E" w:rsidP="00D748E5">
      <w:pPr>
        <w:spacing w:line="480" w:lineRule="auto"/>
        <w:ind w:left="720"/>
      </w:pPr>
    </w:p>
    <w:p w:rsidR="0099043E" w:rsidRDefault="0099043E" w:rsidP="00D748E5">
      <w:pPr>
        <w:spacing w:line="480" w:lineRule="auto"/>
        <w:ind w:left="720"/>
      </w:pPr>
    </w:p>
    <w:p w:rsidR="0099043E" w:rsidRDefault="0099043E" w:rsidP="00D748E5">
      <w:pPr>
        <w:spacing w:line="480" w:lineRule="auto"/>
        <w:ind w:left="720"/>
      </w:pPr>
    </w:p>
    <w:p w:rsidR="0099043E" w:rsidRDefault="0099043E" w:rsidP="00D748E5">
      <w:pPr>
        <w:spacing w:line="480" w:lineRule="auto"/>
        <w:ind w:left="720"/>
      </w:pPr>
    </w:p>
    <w:p w:rsidR="0099043E" w:rsidRDefault="0099043E" w:rsidP="00D748E5">
      <w:pPr>
        <w:spacing w:line="480" w:lineRule="auto"/>
        <w:ind w:left="720"/>
      </w:pPr>
    </w:p>
    <w:p w:rsidR="0099043E" w:rsidRDefault="0099043E" w:rsidP="00D748E5">
      <w:pPr>
        <w:spacing w:line="480" w:lineRule="auto"/>
        <w:ind w:left="720"/>
      </w:pPr>
    </w:p>
    <w:p w:rsidR="00406EF5" w:rsidRDefault="0099043E" w:rsidP="00D748E5">
      <w:pPr>
        <w:spacing w:line="480" w:lineRule="auto"/>
        <w:ind w:left="720"/>
      </w:pPr>
      <w:r>
        <w:lastRenderedPageBreak/>
        <w:t xml:space="preserve">     </w:t>
      </w:r>
      <w:r w:rsidR="00406EF5">
        <w:t xml:space="preserve"> Figure (7):</w:t>
      </w:r>
    </w:p>
    <w:p w:rsidR="00953C43" w:rsidRDefault="00953C43" w:rsidP="00D748E5">
      <w:pPr>
        <w:spacing w:line="480" w:lineRule="auto"/>
        <w:ind w:left="720"/>
      </w:pPr>
      <w:r w:rsidRPr="00953C43">
        <w:rPr>
          <w:noProof/>
        </w:rPr>
        <w:drawing>
          <wp:inline distT="0" distB="0" distL="0" distR="0">
            <wp:extent cx="5275136" cy="2415396"/>
            <wp:effectExtent l="19050" t="0" r="20764" b="3954"/>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953C43" w:rsidRDefault="00953C43" w:rsidP="00A31F06">
      <w:pPr>
        <w:pStyle w:val="ListParagraph"/>
        <w:spacing w:line="480" w:lineRule="auto"/>
        <w:ind w:left="1080"/>
      </w:pPr>
      <w:r>
        <w:t xml:space="preserve">It is very clear, that the price stability under the </w:t>
      </w:r>
      <w:r w:rsidR="00CF7850">
        <w:t>Yen</w:t>
      </w:r>
      <w:r>
        <w:t xml:space="preserve"> was more stable than under gold commodity after 1971. </w:t>
      </w:r>
    </w:p>
    <w:p w:rsidR="00BD4C1C" w:rsidRDefault="0099043E" w:rsidP="0009630B">
      <w:pPr>
        <w:pStyle w:val="ListParagraph"/>
        <w:spacing w:line="480" w:lineRule="auto"/>
        <w:ind w:left="1080"/>
      </w:pPr>
      <w:r>
        <w:t>T</w:t>
      </w:r>
      <w:r w:rsidR="00CF7850">
        <w:t>he Yen currency has the general ability to stabilize the purchasing power more than the gold commodi</w:t>
      </w:r>
      <w:r w:rsidR="00ED1396">
        <w:t>ty after the ending of Bretton Woods A</w:t>
      </w:r>
      <w:r w:rsidR="00CF7850">
        <w:t>greement.</w:t>
      </w:r>
    </w:p>
    <w:p w:rsidR="00790A71" w:rsidRDefault="00790A71" w:rsidP="00D748E5">
      <w:pPr>
        <w:spacing w:line="480" w:lineRule="auto"/>
        <w:ind w:left="720"/>
      </w:pPr>
    </w:p>
    <w:p w:rsidR="00790A71" w:rsidRDefault="00790A71" w:rsidP="00D748E5">
      <w:pPr>
        <w:spacing w:line="480" w:lineRule="auto"/>
        <w:ind w:left="720"/>
      </w:pPr>
    </w:p>
    <w:p w:rsidR="00BD4C1C" w:rsidRDefault="00BD4C1C" w:rsidP="00D748E5">
      <w:pPr>
        <w:spacing w:line="480" w:lineRule="auto"/>
        <w:ind w:left="720"/>
      </w:pPr>
    </w:p>
    <w:p w:rsidR="00A716BE" w:rsidRDefault="00A716BE" w:rsidP="00CF5198">
      <w:pPr>
        <w:pStyle w:val="ListParagraph"/>
        <w:spacing w:line="480" w:lineRule="auto"/>
        <w:ind w:left="1080"/>
      </w:pPr>
    </w:p>
    <w:p w:rsidR="00A716BE" w:rsidRDefault="00A716BE" w:rsidP="00D748E5">
      <w:pPr>
        <w:spacing w:line="480" w:lineRule="auto"/>
        <w:ind w:left="720"/>
      </w:pPr>
    </w:p>
    <w:p w:rsidR="008C6F1B" w:rsidRDefault="008C6F1B" w:rsidP="00D748E5">
      <w:pPr>
        <w:spacing w:line="480" w:lineRule="auto"/>
        <w:ind w:left="720"/>
      </w:pPr>
    </w:p>
    <w:p w:rsidR="007B53DE" w:rsidRPr="00C50A83" w:rsidRDefault="007B53DE" w:rsidP="00C50A83">
      <w:pPr>
        <w:pStyle w:val="NormalWeb"/>
        <w:spacing w:line="480" w:lineRule="auto"/>
        <w:rPr>
          <w:rFonts w:asciiTheme="majorBidi" w:hAnsiTheme="majorBidi" w:cstheme="majorBidi"/>
          <w:rtl/>
        </w:rPr>
      </w:pPr>
    </w:p>
    <w:p w:rsidR="00F32AA5" w:rsidRPr="00F32AA5" w:rsidRDefault="00F32AA5" w:rsidP="00F32AA5">
      <w:pPr>
        <w:spacing w:line="480" w:lineRule="auto"/>
      </w:pPr>
    </w:p>
    <w:p w:rsidR="00486D77" w:rsidRDefault="00486D77" w:rsidP="00262D12">
      <w:pPr>
        <w:spacing w:line="480" w:lineRule="auto"/>
        <w:ind w:left="720"/>
      </w:pPr>
    </w:p>
    <w:p w:rsidR="00486D77" w:rsidRDefault="00486D77" w:rsidP="00262D12">
      <w:pPr>
        <w:spacing w:line="480" w:lineRule="auto"/>
        <w:ind w:left="720"/>
      </w:pPr>
    </w:p>
    <w:p w:rsidR="0048363A" w:rsidRDefault="0048363A" w:rsidP="006F2755">
      <w:pPr>
        <w:spacing w:line="480" w:lineRule="auto"/>
      </w:pPr>
    </w:p>
    <w:p w:rsidR="00A4746D" w:rsidRPr="00267984" w:rsidRDefault="009A788E" w:rsidP="009A788E">
      <w:pPr>
        <w:autoSpaceDE w:val="0"/>
        <w:autoSpaceDN w:val="0"/>
        <w:adjustRightInd w:val="0"/>
        <w:spacing w:line="480" w:lineRule="auto"/>
        <w:jc w:val="center"/>
        <w:rPr>
          <w:b/>
          <w:bCs/>
        </w:rPr>
      </w:pPr>
      <w:r w:rsidRPr="00267984">
        <w:rPr>
          <w:b/>
          <w:bCs/>
        </w:rPr>
        <w:t>Conclusion</w:t>
      </w:r>
    </w:p>
    <w:p w:rsidR="009A788E" w:rsidRDefault="009A788E" w:rsidP="009A788E">
      <w:pPr>
        <w:autoSpaceDE w:val="0"/>
        <w:autoSpaceDN w:val="0"/>
        <w:adjustRightInd w:val="0"/>
        <w:spacing w:line="480" w:lineRule="auto"/>
      </w:pPr>
      <w:bookmarkStart w:id="4" w:name="OLE_LINK5"/>
      <w:bookmarkStart w:id="5" w:name="OLE_LINK6"/>
      <w:r>
        <w:t xml:space="preserve">In this study the research examined </w:t>
      </w:r>
      <w:r w:rsidR="001771EB">
        <w:t>if the gold</w:t>
      </w:r>
      <w:r>
        <w:t xml:space="preserve"> has the ability to stabilize the purchasing power more than the fiat money system</w:t>
      </w:r>
      <w:r w:rsidR="00ED1396">
        <w:t xml:space="preserve"> after the ending of Bretton Woods A</w:t>
      </w:r>
      <w:r w:rsidR="001771EB">
        <w:t>greement in 1971</w:t>
      </w:r>
      <w:r>
        <w:t>.</w:t>
      </w:r>
    </w:p>
    <w:p w:rsidR="006F7D52" w:rsidRDefault="001771EB" w:rsidP="009A788E">
      <w:pPr>
        <w:autoSpaceDE w:val="0"/>
        <w:autoSpaceDN w:val="0"/>
        <w:adjustRightInd w:val="0"/>
        <w:spacing w:line="480" w:lineRule="auto"/>
      </w:pPr>
      <w:r>
        <w:t>The research has studied the price stabilizing in four countries (USA, UK, Japan, and Australia) after 1971, and it found that gold has the ability to stabilize the purchasing power more in the long run in all countries</w:t>
      </w:r>
      <w:r w:rsidR="006F7D52">
        <w:t>.</w:t>
      </w:r>
    </w:p>
    <w:p w:rsidR="001771EB" w:rsidRDefault="006F7D52" w:rsidP="006F7D52">
      <w:pPr>
        <w:autoSpaceDE w:val="0"/>
        <w:autoSpaceDN w:val="0"/>
        <w:adjustRightInd w:val="0"/>
        <w:spacing w:line="480" w:lineRule="auto"/>
      </w:pPr>
      <w:r>
        <w:t xml:space="preserve">While the fiat money system has the ability to stabilize the purchasing power more than the gold in the short runs, </w:t>
      </w:r>
      <w:r w:rsidR="00057411">
        <w:t xml:space="preserve">because of the discovery of a new gold mine increases the local supply of gold, but does not affect real outputs in the short run, and increasing the speculation of gold </w:t>
      </w:r>
      <w:r>
        <w:t>cause it to fluctuate a lot in the short run.</w:t>
      </w:r>
    </w:p>
    <w:p w:rsidR="00676973" w:rsidRDefault="001771EB" w:rsidP="009A788E">
      <w:pPr>
        <w:autoSpaceDE w:val="0"/>
        <w:autoSpaceDN w:val="0"/>
        <w:adjustRightInd w:val="0"/>
        <w:spacing w:line="480" w:lineRule="auto"/>
      </w:pPr>
      <w:r>
        <w:t xml:space="preserve">In general the </w:t>
      </w:r>
      <w:r w:rsidR="00057411">
        <w:t>research ha</w:t>
      </w:r>
      <w:r w:rsidR="00676973">
        <w:t>s found that the gold has the ability to stabilize the purchasing power more in three countries (USA, Australia, and UK), while the Yen has the ability to stabilize the purchasing power more than the gold</w:t>
      </w:r>
      <w:r w:rsidR="00661677">
        <w:t xml:space="preserve"> after 1971</w:t>
      </w:r>
      <w:r w:rsidR="00676973">
        <w:t>.</w:t>
      </w:r>
    </w:p>
    <w:p w:rsidR="00661677" w:rsidRDefault="00661677" w:rsidP="009A788E">
      <w:pPr>
        <w:autoSpaceDE w:val="0"/>
        <w:autoSpaceDN w:val="0"/>
        <w:adjustRightInd w:val="0"/>
        <w:spacing w:line="480" w:lineRule="auto"/>
      </w:pPr>
      <w:r>
        <w:t>The research conclusion supports the previous researches that conclude the same result when they comparing the price stability under the gold standards and fiat money system.</w:t>
      </w:r>
    </w:p>
    <w:p w:rsidR="00613D73" w:rsidRDefault="00267984" w:rsidP="00613D73">
      <w:pPr>
        <w:spacing w:line="480" w:lineRule="auto"/>
      </w:pPr>
      <w:r>
        <w:t>I</w:t>
      </w:r>
      <w:r w:rsidR="00613D73">
        <w:t xml:space="preserve">n further research, </w:t>
      </w:r>
      <w:r w:rsidR="000C075A" w:rsidRPr="00174F55">
        <w:t>we</w:t>
      </w:r>
      <w:r w:rsidR="00613D73" w:rsidRPr="00174F55">
        <w:t xml:space="preserve"> recommend</w:t>
      </w:r>
      <w:r w:rsidR="00613D73">
        <w:t xml:space="preserve"> to </w:t>
      </w:r>
      <w:r w:rsidR="00CF45DF">
        <w:t>consider more</w:t>
      </w:r>
      <w:r w:rsidR="00613D73">
        <w:t xml:space="preserve"> countries in the world especially Arab countries, </w:t>
      </w:r>
      <w:r w:rsidR="00CF45DF">
        <w:t>and also to use more</w:t>
      </w:r>
      <w:r w:rsidR="00613D73">
        <w:t xml:space="preserve"> advanced statis</w:t>
      </w:r>
      <w:r w:rsidR="00CF45DF">
        <w:t xml:space="preserve">tical </w:t>
      </w:r>
      <w:r>
        <w:t>model,</w:t>
      </w:r>
      <w:r w:rsidR="00E84FB9">
        <w:t xml:space="preserve"> which may</w:t>
      </w:r>
      <w:r w:rsidR="00613D73">
        <w:t xml:space="preserve"> give us more accurate results and allow us to </w:t>
      </w:r>
      <w:r w:rsidR="00CF45DF">
        <w:t>make a stronger conclusion.</w:t>
      </w:r>
    </w:p>
    <w:bookmarkEnd w:id="4"/>
    <w:bookmarkEnd w:id="5"/>
    <w:p w:rsidR="00613D73" w:rsidRDefault="00613D73" w:rsidP="009A788E">
      <w:pPr>
        <w:autoSpaceDE w:val="0"/>
        <w:autoSpaceDN w:val="0"/>
        <w:adjustRightInd w:val="0"/>
        <w:spacing w:line="480" w:lineRule="auto"/>
      </w:pPr>
    </w:p>
    <w:p w:rsidR="00661677" w:rsidRDefault="00661677" w:rsidP="009A788E">
      <w:pPr>
        <w:autoSpaceDE w:val="0"/>
        <w:autoSpaceDN w:val="0"/>
        <w:adjustRightInd w:val="0"/>
        <w:spacing w:line="480" w:lineRule="auto"/>
      </w:pPr>
      <w:r>
        <w:t xml:space="preserve"> </w:t>
      </w:r>
    </w:p>
    <w:p w:rsidR="00661677" w:rsidRDefault="00661677" w:rsidP="009A788E">
      <w:pPr>
        <w:autoSpaceDE w:val="0"/>
        <w:autoSpaceDN w:val="0"/>
        <w:adjustRightInd w:val="0"/>
        <w:spacing w:line="480" w:lineRule="auto"/>
      </w:pPr>
    </w:p>
    <w:p w:rsidR="00DC575C" w:rsidRPr="00D36996" w:rsidRDefault="00676973" w:rsidP="00D36996">
      <w:pPr>
        <w:autoSpaceDE w:val="0"/>
        <w:autoSpaceDN w:val="0"/>
        <w:adjustRightInd w:val="0"/>
        <w:spacing w:line="480" w:lineRule="auto"/>
      </w:pPr>
      <w:r>
        <w:t xml:space="preserve"> </w:t>
      </w:r>
      <w:r w:rsidR="00F72A3F">
        <w:t xml:space="preserve"> </w:t>
      </w:r>
      <w:r w:rsidR="00057411">
        <w:t xml:space="preserve"> </w:t>
      </w:r>
      <w:r w:rsidR="001771EB">
        <w:t xml:space="preserve"> </w:t>
      </w:r>
    </w:p>
    <w:p w:rsidR="00DC575C" w:rsidRPr="00A50B08" w:rsidRDefault="00923B09" w:rsidP="00D707B7">
      <w:pPr>
        <w:jc w:val="center"/>
        <w:rPr>
          <w:rFonts w:asciiTheme="majorBidi" w:hAnsiTheme="majorBidi" w:cstheme="majorBidi"/>
          <w:b/>
          <w:bCs/>
        </w:rPr>
      </w:pPr>
      <w:r w:rsidRPr="00A50B08">
        <w:rPr>
          <w:rFonts w:asciiTheme="majorBidi" w:hAnsiTheme="majorBidi" w:cstheme="majorBidi"/>
          <w:b/>
          <w:bCs/>
        </w:rPr>
        <w:lastRenderedPageBreak/>
        <w:t>Reference</w:t>
      </w:r>
    </w:p>
    <w:p w:rsidR="00923B09" w:rsidRDefault="00923B09" w:rsidP="00D707B7">
      <w:pPr>
        <w:jc w:val="center"/>
        <w:rPr>
          <w:rFonts w:asciiTheme="majorBidi" w:hAnsiTheme="majorBidi" w:cstheme="majorBidi"/>
          <w:sz w:val="32"/>
          <w:szCs w:val="32"/>
        </w:rPr>
      </w:pPr>
    </w:p>
    <w:p w:rsidR="00D21D07" w:rsidRPr="00FD7834" w:rsidRDefault="0087119B" w:rsidP="00FD7834">
      <w:pPr>
        <w:pStyle w:val="ListParagraph"/>
        <w:numPr>
          <w:ilvl w:val="0"/>
          <w:numId w:val="8"/>
        </w:numPr>
        <w:spacing w:line="480" w:lineRule="auto"/>
        <w:rPr>
          <w:rFonts w:asciiTheme="majorBidi" w:hAnsiTheme="majorBidi" w:cstheme="majorBidi"/>
        </w:rPr>
      </w:pPr>
      <w:r>
        <w:rPr>
          <w:rStyle w:val="apple-style-span"/>
          <w:rFonts w:asciiTheme="majorBidi" w:hAnsiTheme="majorBidi" w:cstheme="majorBidi"/>
        </w:rPr>
        <w:t>Bordo, Michael D</w:t>
      </w:r>
      <w:r w:rsidR="00D21D07" w:rsidRPr="00FD7834">
        <w:rPr>
          <w:rStyle w:val="apple-style-span"/>
          <w:rFonts w:asciiTheme="majorBidi" w:hAnsiTheme="majorBidi" w:cstheme="majorBidi"/>
        </w:rPr>
        <w:t>, Dittmar, Robert D. and Gavin, William T. (December 2003), Gold, Fiat Money, and Price Stability. NBER Working Paper Series, Vol. w10171</w:t>
      </w:r>
      <w:r w:rsidR="00D21D07">
        <w:rPr>
          <w:rStyle w:val="apple-style-span"/>
          <w:rFonts w:asciiTheme="majorBidi" w:hAnsiTheme="majorBidi" w:cstheme="majorBidi"/>
        </w:rPr>
        <w:t>.</w:t>
      </w:r>
    </w:p>
    <w:p w:rsidR="00D21D07" w:rsidRPr="00FD7834" w:rsidRDefault="00D21D07" w:rsidP="00FD7834">
      <w:pPr>
        <w:pStyle w:val="ListParagraph"/>
        <w:numPr>
          <w:ilvl w:val="0"/>
          <w:numId w:val="8"/>
        </w:numPr>
        <w:spacing w:line="480" w:lineRule="auto"/>
        <w:rPr>
          <w:rFonts w:asciiTheme="majorBidi" w:hAnsiTheme="majorBidi" w:cstheme="majorBidi"/>
        </w:rPr>
      </w:pPr>
      <w:r>
        <w:rPr>
          <w:rStyle w:val="apple-style-span"/>
          <w:rFonts w:asciiTheme="majorBidi" w:hAnsiTheme="majorBidi" w:cstheme="majorBidi"/>
        </w:rPr>
        <w:t>Cata</w:t>
      </w:r>
      <w:r w:rsidRPr="00FD7834">
        <w:rPr>
          <w:rStyle w:val="apple-style-span"/>
          <w:rFonts w:asciiTheme="majorBidi" w:hAnsiTheme="majorBidi" w:cstheme="majorBidi"/>
        </w:rPr>
        <w:t>o, Luis and Solomou, Solomos, (February 2003). Exchange Rates in the Periphery and International Adjustment Under The Gold Standard). IMF Working Paper, Vol. , pp. 1-37</w:t>
      </w:r>
      <w:r>
        <w:rPr>
          <w:rStyle w:val="apple-style-span"/>
          <w:rFonts w:asciiTheme="majorBidi" w:hAnsiTheme="majorBidi" w:cstheme="majorBidi"/>
        </w:rPr>
        <w:t>.</w:t>
      </w:r>
    </w:p>
    <w:p w:rsidR="00D21D07" w:rsidRPr="00FD7834" w:rsidRDefault="00D21D07" w:rsidP="00FD7834">
      <w:pPr>
        <w:pStyle w:val="ListParagraph"/>
        <w:numPr>
          <w:ilvl w:val="0"/>
          <w:numId w:val="8"/>
        </w:numPr>
        <w:spacing w:line="480" w:lineRule="auto"/>
        <w:rPr>
          <w:rFonts w:asciiTheme="majorBidi" w:hAnsiTheme="majorBidi" w:cstheme="majorBidi"/>
        </w:rPr>
      </w:pPr>
      <w:r w:rsidRPr="00FD7834">
        <w:rPr>
          <w:rStyle w:val="apple-style-span"/>
          <w:rFonts w:asciiTheme="majorBidi" w:hAnsiTheme="majorBidi" w:cstheme="majorBidi"/>
        </w:rPr>
        <w:t>Coleman, Andrew (May 1, 2010). Uncovering Uncovered Interest Parity During the Classical Gold Stand</w:t>
      </w:r>
      <w:r w:rsidR="00156DB9">
        <w:rPr>
          <w:rStyle w:val="apple-style-span"/>
          <w:rFonts w:asciiTheme="majorBidi" w:hAnsiTheme="majorBidi" w:cstheme="majorBidi"/>
        </w:rPr>
        <w:t>ard Era, 1888-1905</w:t>
      </w:r>
      <w:r w:rsidRPr="00FD7834">
        <w:rPr>
          <w:rStyle w:val="apple-style-span"/>
          <w:rFonts w:asciiTheme="majorBidi" w:hAnsiTheme="majorBidi" w:cstheme="majorBidi"/>
        </w:rPr>
        <w:t>. Motu Economic and Public Policy Research Working Paper No. 10-02.</w:t>
      </w:r>
    </w:p>
    <w:p w:rsidR="00D21D07" w:rsidRPr="00FD7834" w:rsidRDefault="00D21D07" w:rsidP="00FD7834">
      <w:pPr>
        <w:pStyle w:val="ListParagraph"/>
        <w:numPr>
          <w:ilvl w:val="0"/>
          <w:numId w:val="8"/>
        </w:numPr>
        <w:spacing w:line="480" w:lineRule="auto"/>
        <w:rPr>
          <w:rFonts w:asciiTheme="majorBidi" w:hAnsiTheme="majorBidi" w:cstheme="majorBidi"/>
        </w:rPr>
      </w:pPr>
      <w:r w:rsidRPr="00FD7834">
        <w:rPr>
          <w:rStyle w:val="apple-style-span"/>
          <w:rFonts w:asciiTheme="majorBidi" w:hAnsiTheme="majorBidi" w:cstheme="majorBidi"/>
        </w:rPr>
        <w:t>Eichengreen, Barry and Temin, Peter (June 1997). The Gold Standard and the Great Depression, NBER Working Paper Series, Vol. w6060.</w:t>
      </w:r>
    </w:p>
    <w:p w:rsidR="00D21D07" w:rsidRPr="00986908" w:rsidRDefault="00D21D07" w:rsidP="00986908">
      <w:pPr>
        <w:pStyle w:val="ListParagraph"/>
        <w:numPr>
          <w:ilvl w:val="0"/>
          <w:numId w:val="8"/>
        </w:numPr>
        <w:spacing w:line="480" w:lineRule="auto"/>
        <w:rPr>
          <w:rFonts w:asciiTheme="majorBidi" w:hAnsiTheme="majorBidi" w:cstheme="majorBidi"/>
        </w:rPr>
      </w:pPr>
      <w:r w:rsidRPr="00986908">
        <w:rPr>
          <w:rFonts w:asciiTheme="majorBidi" w:hAnsiTheme="majorBidi" w:cstheme="majorBidi"/>
        </w:rPr>
        <w:t xml:space="preserve">Feldstein, Martin S. </w:t>
      </w:r>
      <w:r>
        <w:rPr>
          <w:rFonts w:asciiTheme="majorBidi" w:hAnsiTheme="majorBidi" w:cstheme="majorBidi"/>
        </w:rPr>
        <w:t>(February 1996)</w:t>
      </w:r>
      <w:r w:rsidRPr="00986908">
        <w:rPr>
          <w:rFonts w:asciiTheme="majorBidi" w:hAnsiTheme="majorBidi" w:cstheme="majorBidi"/>
        </w:rPr>
        <w:t>, The Costs and Benefits of Going from Low Inflation to Price Stability, NBER Working Paper No. W5469. Available at SSR</w:t>
      </w:r>
      <w:r>
        <w:rPr>
          <w:rFonts w:asciiTheme="majorBidi" w:hAnsiTheme="majorBidi" w:cstheme="majorBidi"/>
        </w:rPr>
        <w:t>N: http://ssrn.com</w:t>
      </w:r>
    </w:p>
    <w:p w:rsidR="00D21D07" w:rsidRPr="00986908" w:rsidRDefault="00D21D07" w:rsidP="00986908">
      <w:pPr>
        <w:pStyle w:val="ListParagraph"/>
        <w:numPr>
          <w:ilvl w:val="0"/>
          <w:numId w:val="8"/>
        </w:numPr>
        <w:spacing w:line="480" w:lineRule="auto"/>
        <w:rPr>
          <w:rFonts w:asciiTheme="majorBidi" w:hAnsiTheme="majorBidi" w:cstheme="majorBidi"/>
        </w:rPr>
      </w:pPr>
      <w:r w:rsidRPr="00986908">
        <w:rPr>
          <w:rFonts w:asciiTheme="majorBidi" w:hAnsiTheme="majorBidi" w:cstheme="majorBidi"/>
        </w:rPr>
        <w:t>Fontana, Giuseppe and Palacio Vera, Alfonso</w:t>
      </w:r>
      <w:r>
        <w:rPr>
          <w:rFonts w:asciiTheme="majorBidi" w:hAnsiTheme="majorBidi" w:cstheme="majorBidi"/>
        </w:rPr>
        <w:t xml:space="preserve"> (November 2005)</w:t>
      </w:r>
      <w:r w:rsidRPr="00986908">
        <w:rPr>
          <w:rFonts w:asciiTheme="majorBidi" w:hAnsiTheme="majorBidi" w:cstheme="majorBidi"/>
        </w:rPr>
        <w:t>, Are Long-run Price Stability and Short-run Output Stabilization All th</w:t>
      </w:r>
      <w:r w:rsidR="00156DB9">
        <w:rPr>
          <w:rFonts w:asciiTheme="majorBidi" w:hAnsiTheme="majorBidi" w:cstheme="majorBidi"/>
        </w:rPr>
        <w:t>at Monetary Policy can Aim for.</w:t>
      </w:r>
    </w:p>
    <w:p w:rsidR="00D21D07" w:rsidRPr="00986908" w:rsidRDefault="00D21D07" w:rsidP="00986908">
      <w:pPr>
        <w:pStyle w:val="ListParagraph"/>
        <w:numPr>
          <w:ilvl w:val="0"/>
          <w:numId w:val="8"/>
        </w:numPr>
        <w:spacing w:line="480" w:lineRule="auto"/>
        <w:rPr>
          <w:rFonts w:asciiTheme="majorBidi" w:hAnsiTheme="majorBidi" w:cstheme="majorBidi"/>
        </w:rPr>
      </w:pPr>
      <w:r w:rsidRPr="00986908">
        <w:rPr>
          <w:rFonts w:asciiTheme="majorBidi" w:hAnsiTheme="majorBidi" w:cstheme="majorBidi"/>
        </w:rPr>
        <w:t>Good friend</w:t>
      </w:r>
      <w:r>
        <w:rPr>
          <w:rFonts w:asciiTheme="majorBidi" w:hAnsiTheme="majorBidi" w:cstheme="majorBidi"/>
        </w:rPr>
        <w:t>, Marvin and King, Robert G</w:t>
      </w:r>
      <w:r w:rsidRPr="00986908">
        <w:rPr>
          <w:rFonts w:asciiTheme="majorBidi" w:hAnsiTheme="majorBidi" w:cstheme="majorBidi"/>
        </w:rPr>
        <w:t xml:space="preserve"> </w:t>
      </w:r>
      <w:r>
        <w:rPr>
          <w:rFonts w:asciiTheme="majorBidi" w:hAnsiTheme="majorBidi" w:cstheme="majorBidi"/>
        </w:rPr>
        <w:t>(August 2001)</w:t>
      </w:r>
      <w:r w:rsidRPr="00986908">
        <w:rPr>
          <w:rFonts w:asciiTheme="majorBidi" w:hAnsiTheme="majorBidi" w:cstheme="majorBidi"/>
        </w:rPr>
        <w:t>, The Case for Price Stability NBER Working Paper No. W8423. Available at SSRN:</w:t>
      </w:r>
      <w:r>
        <w:rPr>
          <w:rFonts w:asciiTheme="majorBidi" w:hAnsiTheme="majorBidi" w:cstheme="majorBidi"/>
        </w:rPr>
        <w:t xml:space="preserve"> http://ssrn.com.</w:t>
      </w:r>
    </w:p>
    <w:p w:rsidR="00D21D07" w:rsidRPr="00986908" w:rsidRDefault="00994B7D" w:rsidP="00986908">
      <w:pPr>
        <w:pStyle w:val="ListParagraph"/>
        <w:numPr>
          <w:ilvl w:val="0"/>
          <w:numId w:val="8"/>
        </w:numPr>
        <w:spacing w:line="480" w:lineRule="auto"/>
        <w:rPr>
          <w:rStyle w:val="apple-style-span"/>
          <w:rFonts w:asciiTheme="majorBidi" w:hAnsiTheme="majorBidi" w:cstheme="majorBidi"/>
        </w:rPr>
      </w:pPr>
      <w:r>
        <w:rPr>
          <w:rFonts w:asciiTheme="majorBidi" w:hAnsiTheme="majorBidi" w:cstheme="majorBidi"/>
        </w:rPr>
        <w:t>Grytten, and Hunnes (</w:t>
      </w:r>
      <w:r w:rsidRPr="00986908">
        <w:rPr>
          <w:rFonts w:asciiTheme="majorBidi" w:hAnsiTheme="majorBidi" w:cstheme="majorBidi"/>
        </w:rPr>
        <w:t>2009</w:t>
      </w:r>
      <w:r w:rsidR="00D21D07" w:rsidRPr="00986908">
        <w:rPr>
          <w:rFonts w:asciiTheme="majorBidi" w:hAnsiTheme="majorBidi" w:cstheme="majorBidi"/>
        </w:rPr>
        <w:t>), Price Stability and Inflation Persistence During the International Gold Standard: The Scandinavian Case (NHH Dept. of Economics Discussion Paper No. 6/2009.</w:t>
      </w:r>
    </w:p>
    <w:p w:rsidR="00D21D07" w:rsidRPr="00986908" w:rsidRDefault="00D21D07" w:rsidP="00986908">
      <w:pPr>
        <w:pStyle w:val="ListParagraph"/>
        <w:numPr>
          <w:ilvl w:val="0"/>
          <w:numId w:val="8"/>
        </w:numPr>
        <w:spacing w:line="480" w:lineRule="auto"/>
        <w:rPr>
          <w:rFonts w:asciiTheme="majorBidi" w:hAnsiTheme="majorBidi" w:cstheme="majorBidi"/>
        </w:rPr>
      </w:pPr>
      <w:r w:rsidRPr="00986908">
        <w:rPr>
          <w:rFonts w:asciiTheme="majorBidi" w:hAnsiTheme="majorBidi" w:cstheme="majorBidi"/>
        </w:rPr>
        <w:lastRenderedPageBreak/>
        <w:t xml:space="preserve">Marc Flandreau (1998). Stability without a Pact? Lessons from the European </w:t>
      </w:r>
      <w:r w:rsidRPr="00986908">
        <w:rPr>
          <w:rStyle w:val="searchtermshighlighted"/>
          <w:rFonts w:asciiTheme="majorBidi" w:hAnsiTheme="majorBidi" w:cstheme="majorBidi"/>
        </w:rPr>
        <w:t>Gold</w:t>
      </w:r>
      <w:r w:rsidRPr="00986908">
        <w:rPr>
          <w:rFonts w:asciiTheme="majorBidi" w:hAnsiTheme="majorBidi" w:cstheme="majorBidi"/>
        </w:rPr>
        <w:t xml:space="preserve"> </w:t>
      </w:r>
      <w:r w:rsidRPr="00986908">
        <w:rPr>
          <w:rStyle w:val="searchtermshighlighted"/>
          <w:rFonts w:asciiTheme="majorBidi" w:hAnsiTheme="majorBidi" w:cstheme="majorBidi"/>
        </w:rPr>
        <w:t>Standard</w:t>
      </w:r>
      <w:r w:rsidRPr="00986908">
        <w:rPr>
          <w:rFonts w:asciiTheme="majorBidi" w:hAnsiTheme="majorBidi" w:cstheme="majorBidi"/>
        </w:rPr>
        <w:t xml:space="preserve">, 1880-1914, CEPR Discussion Paper Series No. 1872. </w:t>
      </w:r>
    </w:p>
    <w:p w:rsidR="00D21D07" w:rsidRPr="00986908" w:rsidRDefault="00D21D07" w:rsidP="00986908">
      <w:pPr>
        <w:pStyle w:val="ListParagraph"/>
        <w:numPr>
          <w:ilvl w:val="0"/>
          <w:numId w:val="8"/>
        </w:numPr>
        <w:spacing w:line="480" w:lineRule="auto"/>
        <w:rPr>
          <w:rFonts w:asciiTheme="majorBidi" w:hAnsiTheme="majorBidi" w:cstheme="majorBidi"/>
        </w:rPr>
      </w:pPr>
      <w:r w:rsidRPr="00986908">
        <w:rPr>
          <w:rStyle w:val="apple-style-span"/>
          <w:rFonts w:asciiTheme="majorBidi" w:hAnsiTheme="majorBidi" w:cstheme="majorBidi"/>
        </w:rPr>
        <w:t>Martins, Marco Antonio Campos</w:t>
      </w:r>
      <w:r w:rsidR="00156DB9">
        <w:rPr>
          <w:rStyle w:val="apple-style-span"/>
          <w:rFonts w:asciiTheme="majorBidi" w:hAnsiTheme="majorBidi" w:cstheme="majorBidi"/>
        </w:rPr>
        <w:t xml:space="preserve"> </w:t>
      </w:r>
      <w:r w:rsidRPr="00986908">
        <w:rPr>
          <w:rStyle w:val="apple-style-span"/>
          <w:rFonts w:asciiTheme="majorBidi" w:hAnsiTheme="majorBidi" w:cstheme="majorBidi"/>
        </w:rPr>
        <w:t>(January-March 1994), Interests, Prices and the Barsky and Summers' Resolution of the Gibson Paradox under the Gold Standard System. Revista Brasileira de Economia, Vol. 48, No. 1, pp. 3-28.</w:t>
      </w:r>
    </w:p>
    <w:p w:rsidR="00D21D07" w:rsidRPr="00986908" w:rsidRDefault="00D21D07" w:rsidP="00986908">
      <w:pPr>
        <w:pStyle w:val="ListParagraph"/>
        <w:numPr>
          <w:ilvl w:val="0"/>
          <w:numId w:val="8"/>
        </w:numPr>
        <w:spacing w:line="480" w:lineRule="auto"/>
        <w:rPr>
          <w:rFonts w:asciiTheme="majorBidi" w:hAnsiTheme="majorBidi" w:cstheme="majorBidi"/>
        </w:rPr>
      </w:pPr>
      <w:r w:rsidRPr="00986908">
        <w:rPr>
          <w:rStyle w:val="apple-style-span"/>
          <w:rFonts w:asciiTheme="majorBidi" w:hAnsiTheme="majorBidi" w:cstheme="majorBidi"/>
        </w:rPr>
        <w:t>Meissner, Christopher M, (September 2002), New World Order, Explaining the Emergence of the Classical Gold Standard (September 2002). NBER Working Paper No. W9233.</w:t>
      </w:r>
    </w:p>
    <w:p w:rsidR="00D21D07" w:rsidRPr="00986908" w:rsidRDefault="00156DB9" w:rsidP="00986908">
      <w:pPr>
        <w:pStyle w:val="ListParagraph"/>
        <w:numPr>
          <w:ilvl w:val="0"/>
          <w:numId w:val="8"/>
        </w:numPr>
        <w:spacing w:line="480" w:lineRule="auto"/>
        <w:rPr>
          <w:rFonts w:asciiTheme="majorBidi" w:hAnsiTheme="majorBidi" w:cstheme="majorBidi"/>
        </w:rPr>
      </w:pPr>
      <w:r>
        <w:rPr>
          <w:rFonts w:asciiTheme="majorBidi" w:hAnsiTheme="majorBidi" w:cstheme="majorBidi"/>
        </w:rPr>
        <w:t>O</w:t>
      </w:r>
      <w:r w:rsidR="00D21D07" w:rsidRPr="00986908">
        <w:rPr>
          <w:rFonts w:asciiTheme="majorBidi" w:hAnsiTheme="majorBidi" w:cstheme="majorBidi"/>
        </w:rPr>
        <w:t>rphanides, Athanasios, The Road to Price Stability (January 2006). FEDs Working Paper No. 2</w:t>
      </w:r>
      <w:r w:rsidR="00D21D07">
        <w:rPr>
          <w:rFonts w:asciiTheme="majorBidi" w:hAnsiTheme="majorBidi" w:cstheme="majorBidi"/>
        </w:rPr>
        <w:t xml:space="preserve">006-05. </w:t>
      </w:r>
    </w:p>
    <w:p w:rsidR="00D21D07" w:rsidRPr="00986908" w:rsidRDefault="00D21D07" w:rsidP="00986908">
      <w:pPr>
        <w:pStyle w:val="ListParagraph"/>
        <w:numPr>
          <w:ilvl w:val="0"/>
          <w:numId w:val="8"/>
        </w:numPr>
        <w:spacing w:line="480" w:lineRule="auto"/>
        <w:rPr>
          <w:rStyle w:val="apple-style-span"/>
          <w:rFonts w:asciiTheme="majorBidi" w:hAnsiTheme="majorBidi" w:cstheme="majorBidi"/>
        </w:rPr>
      </w:pPr>
      <w:r w:rsidRPr="00986908">
        <w:rPr>
          <w:rStyle w:val="apple-style-span"/>
          <w:rFonts w:asciiTheme="majorBidi" w:hAnsiTheme="majorBidi" w:cstheme="majorBidi"/>
        </w:rPr>
        <w:t>Salvary, Stanley C.W. (August 10, 2008), Unrestrained Credit in a Credit Economy, the Credit Cycle, and Fiat Money Defy Monetarism in the Attempt to Control Price Level Changes.</w:t>
      </w:r>
    </w:p>
    <w:p w:rsidR="00D21D07" w:rsidRPr="00986908" w:rsidRDefault="00D21D07" w:rsidP="00986908">
      <w:pPr>
        <w:pStyle w:val="ListParagraph"/>
        <w:numPr>
          <w:ilvl w:val="0"/>
          <w:numId w:val="8"/>
        </w:numPr>
        <w:spacing w:line="480" w:lineRule="auto"/>
        <w:rPr>
          <w:rFonts w:asciiTheme="majorBidi" w:hAnsiTheme="majorBidi" w:cstheme="majorBidi"/>
        </w:rPr>
      </w:pPr>
      <w:r w:rsidRPr="00986908">
        <w:rPr>
          <w:rFonts w:asciiTheme="majorBidi" w:hAnsiTheme="majorBidi" w:cstheme="majorBidi"/>
        </w:rPr>
        <w:t xml:space="preserve">Smets, Frank, What Horizon for Price Stability (July 2000). ECB Working Paper No. 24. Available at SSRN: </w:t>
      </w:r>
      <w:r>
        <w:rPr>
          <w:rFonts w:asciiTheme="majorBidi" w:hAnsiTheme="majorBidi" w:cstheme="majorBidi"/>
        </w:rPr>
        <w:t>http://ssrn.com.</w:t>
      </w:r>
    </w:p>
    <w:p w:rsidR="00D21D07" w:rsidRPr="00986908" w:rsidRDefault="00D21D07" w:rsidP="00986908">
      <w:pPr>
        <w:pStyle w:val="ListParagraph"/>
        <w:numPr>
          <w:ilvl w:val="0"/>
          <w:numId w:val="8"/>
        </w:numPr>
        <w:spacing w:line="480" w:lineRule="auto"/>
        <w:rPr>
          <w:rFonts w:asciiTheme="majorBidi" w:hAnsiTheme="majorBidi" w:cstheme="majorBidi"/>
        </w:rPr>
      </w:pPr>
      <w:r w:rsidRPr="00986908">
        <w:rPr>
          <w:rFonts w:asciiTheme="majorBidi" w:hAnsiTheme="majorBidi" w:cstheme="majorBidi"/>
        </w:rPr>
        <w:t xml:space="preserve">White, William R. (April 2006), Is Price Stability Enough? BIS Working Paper No. 205. Available at SSRN: </w:t>
      </w:r>
      <w:hyperlink r:id="rId55" w:history="1">
        <w:r w:rsidRPr="00986908">
          <w:rPr>
            <w:rStyle w:val="Hyperlink"/>
            <w:rFonts w:asciiTheme="majorBidi" w:hAnsiTheme="majorBidi" w:cstheme="majorBidi"/>
            <w:color w:val="auto"/>
            <w:u w:val="none"/>
          </w:rPr>
          <w:t>http://ssrn.com</w:t>
        </w:r>
      </w:hyperlink>
      <w:r w:rsidRPr="00986908">
        <w:rPr>
          <w:rFonts w:asciiTheme="majorBidi" w:hAnsiTheme="majorBidi" w:cstheme="majorBidi"/>
        </w:rPr>
        <w:t>.</w:t>
      </w:r>
    </w:p>
    <w:p w:rsidR="00D21D07" w:rsidRPr="00986908" w:rsidRDefault="00D21D07" w:rsidP="00986908">
      <w:pPr>
        <w:pStyle w:val="ListParagraph"/>
        <w:numPr>
          <w:ilvl w:val="0"/>
          <w:numId w:val="8"/>
        </w:numPr>
        <w:spacing w:line="480" w:lineRule="auto"/>
        <w:rPr>
          <w:rFonts w:asciiTheme="majorBidi" w:hAnsiTheme="majorBidi" w:cstheme="majorBidi"/>
        </w:rPr>
      </w:pPr>
      <w:r w:rsidRPr="00986908">
        <w:rPr>
          <w:rStyle w:val="apple-style-span"/>
          <w:rFonts w:asciiTheme="majorBidi" w:hAnsiTheme="majorBidi" w:cstheme="majorBidi"/>
        </w:rPr>
        <w:t>Young, Andrew T. and Du, Shaoyin(March 2007). Did Leaving the Gold Standard Tame the Business Cycle' Evidence from NBER Reference Dates &amp; Real GNP.</w:t>
      </w:r>
    </w:p>
    <w:p w:rsidR="00A50B08" w:rsidRDefault="00A50B08" w:rsidP="00A50B08">
      <w:pPr>
        <w:pStyle w:val="ListParagraph"/>
        <w:spacing w:line="480" w:lineRule="auto"/>
        <w:rPr>
          <w:rFonts w:asciiTheme="majorBidi" w:hAnsiTheme="majorBidi" w:cstheme="majorBidi"/>
        </w:rPr>
      </w:pPr>
    </w:p>
    <w:p w:rsidR="00986908" w:rsidRPr="00986908" w:rsidRDefault="00986908" w:rsidP="00986908">
      <w:pPr>
        <w:spacing w:line="480" w:lineRule="auto"/>
        <w:rPr>
          <w:rFonts w:asciiTheme="majorBidi" w:hAnsiTheme="majorBidi" w:cstheme="majorBidi"/>
        </w:rPr>
      </w:pPr>
    </w:p>
    <w:p w:rsidR="0087119B" w:rsidRDefault="0087119B" w:rsidP="00A50B08">
      <w:pPr>
        <w:pStyle w:val="ListParagraph"/>
        <w:spacing w:line="480" w:lineRule="auto"/>
        <w:rPr>
          <w:rFonts w:asciiTheme="majorBidi" w:hAnsiTheme="majorBidi" w:cstheme="majorBidi"/>
          <w:b/>
          <w:bCs/>
        </w:rPr>
      </w:pPr>
    </w:p>
    <w:p w:rsidR="0087119B" w:rsidRDefault="0087119B" w:rsidP="00A50B08">
      <w:pPr>
        <w:pStyle w:val="ListParagraph"/>
        <w:spacing w:line="480" w:lineRule="auto"/>
        <w:rPr>
          <w:rFonts w:asciiTheme="majorBidi" w:hAnsiTheme="majorBidi" w:cstheme="majorBidi"/>
          <w:b/>
          <w:bCs/>
        </w:rPr>
      </w:pPr>
    </w:p>
    <w:p w:rsidR="00A50B08" w:rsidRPr="00D21D07" w:rsidRDefault="00A50B08" w:rsidP="00A50B08">
      <w:pPr>
        <w:pStyle w:val="ListParagraph"/>
        <w:spacing w:line="480" w:lineRule="auto"/>
        <w:rPr>
          <w:rFonts w:asciiTheme="majorBidi" w:hAnsiTheme="majorBidi" w:cstheme="majorBidi"/>
          <w:b/>
          <w:bCs/>
        </w:rPr>
      </w:pPr>
      <w:r w:rsidRPr="00D21D07">
        <w:rPr>
          <w:rFonts w:asciiTheme="majorBidi" w:hAnsiTheme="majorBidi" w:cstheme="majorBidi"/>
          <w:b/>
          <w:bCs/>
        </w:rPr>
        <w:lastRenderedPageBreak/>
        <w:t>Websites references:</w:t>
      </w:r>
    </w:p>
    <w:p w:rsidR="00A50B08" w:rsidRPr="00FD7834" w:rsidRDefault="00E638C0" w:rsidP="00A50B08">
      <w:pPr>
        <w:pStyle w:val="ListParagraph"/>
        <w:numPr>
          <w:ilvl w:val="0"/>
          <w:numId w:val="8"/>
        </w:numPr>
        <w:spacing w:line="480" w:lineRule="auto"/>
        <w:rPr>
          <w:rFonts w:asciiTheme="majorBidi" w:hAnsiTheme="majorBidi" w:cstheme="majorBidi"/>
        </w:rPr>
      </w:pPr>
      <w:hyperlink r:id="rId56" w:history="1">
        <w:r w:rsidR="00A50B08" w:rsidRPr="00FD7834">
          <w:rPr>
            <w:rStyle w:val="Hyperlink"/>
            <w:rFonts w:asciiTheme="majorBidi" w:hAnsiTheme="majorBidi" w:cstheme="majorBidi"/>
            <w:color w:val="auto"/>
            <w:u w:val="none"/>
          </w:rPr>
          <w:t>http://www.en.wikipedia.org/wiki/Consumer_price_index</w:t>
        </w:r>
      </w:hyperlink>
      <w:r w:rsidR="00A50B08" w:rsidRPr="00FD7834">
        <w:rPr>
          <w:rFonts w:asciiTheme="majorBidi" w:hAnsiTheme="majorBidi" w:cstheme="majorBidi"/>
        </w:rPr>
        <w:t>.</w:t>
      </w:r>
    </w:p>
    <w:p w:rsidR="00A50B08" w:rsidRPr="00FD7834" w:rsidRDefault="00E638C0" w:rsidP="00A50B08">
      <w:pPr>
        <w:pStyle w:val="ListParagraph"/>
        <w:numPr>
          <w:ilvl w:val="0"/>
          <w:numId w:val="8"/>
        </w:numPr>
        <w:spacing w:line="480" w:lineRule="auto"/>
        <w:rPr>
          <w:rFonts w:asciiTheme="majorBidi" w:hAnsiTheme="majorBidi" w:cstheme="majorBidi"/>
        </w:rPr>
      </w:pPr>
      <w:hyperlink r:id="rId57" w:history="1">
        <w:r w:rsidR="00A50B08" w:rsidRPr="00FD7834">
          <w:rPr>
            <w:rStyle w:val="Hyperlink"/>
            <w:rFonts w:asciiTheme="majorBidi" w:eastAsiaTheme="minorHAnsi" w:hAnsiTheme="majorBidi" w:cstheme="majorBidi"/>
            <w:color w:val="auto"/>
            <w:u w:val="none"/>
          </w:rPr>
          <w:t>http://www.centralbanksguide.com/fiat+money</w:t>
        </w:r>
      </w:hyperlink>
    </w:p>
    <w:p w:rsidR="00A50B08" w:rsidRPr="00FD7834" w:rsidRDefault="00E638C0" w:rsidP="00A50B08">
      <w:pPr>
        <w:pStyle w:val="NormalWeb"/>
        <w:numPr>
          <w:ilvl w:val="0"/>
          <w:numId w:val="8"/>
        </w:numPr>
        <w:spacing w:line="480" w:lineRule="auto"/>
        <w:rPr>
          <w:rFonts w:asciiTheme="majorBidi" w:hAnsiTheme="majorBidi" w:cstheme="majorBidi"/>
        </w:rPr>
      </w:pPr>
      <w:hyperlink r:id="rId58" w:history="1">
        <w:r w:rsidR="00A50B08" w:rsidRPr="00FD7834">
          <w:rPr>
            <w:rStyle w:val="Hyperlink"/>
            <w:rFonts w:asciiTheme="majorBidi" w:hAnsiTheme="majorBidi" w:cstheme="majorBidi"/>
            <w:color w:val="auto"/>
            <w:u w:val="none"/>
          </w:rPr>
          <w:t>http://www.en.wikipedia.org/wiki/Inflation</w:t>
        </w:r>
      </w:hyperlink>
      <w:r w:rsidR="00A50B08" w:rsidRPr="00FD7834">
        <w:rPr>
          <w:rFonts w:asciiTheme="majorBidi" w:hAnsiTheme="majorBidi" w:cstheme="majorBidi"/>
        </w:rPr>
        <w:t>.</w:t>
      </w:r>
    </w:p>
    <w:p w:rsidR="00A50B08" w:rsidRPr="00FD7834" w:rsidRDefault="00A50B08" w:rsidP="00A50B08">
      <w:pPr>
        <w:pStyle w:val="NormalWeb"/>
        <w:numPr>
          <w:ilvl w:val="0"/>
          <w:numId w:val="8"/>
        </w:numPr>
        <w:spacing w:line="480" w:lineRule="auto"/>
        <w:rPr>
          <w:rFonts w:asciiTheme="majorBidi" w:hAnsiTheme="majorBidi" w:cstheme="majorBidi"/>
        </w:rPr>
      </w:pPr>
      <w:r w:rsidRPr="00FD7834">
        <w:rPr>
          <w:rFonts w:asciiTheme="majorBidi" w:eastAsiaTheme="minorHAnsi" w:hAnsiTheme="majorBidi" w:cstheme="majorBidi"/>
        </w:rPr>
        <w:t>http://www.ecb.europa.eu/mopo/intro/benefits/html/index.en.html.</w:t>
      </w:r>
    </w:p>
    <w:p w:rsidR="00A50B08" w:rsidRPr="00FA7DFC" w:rsidRDefault="00E638C0" w:rsidP="00A50B08">
      <w:pPr>
        <w:pStyle w:val="ListParagraph"/>
        <w:numPr>
          <w:ilvl w:val="0"/>
          <w:numId w:val="8"/>
        </w:numPr>
        <w:spacing w:after="200" w:line="480" w:lineRule="auto"/>
        <w:rPr>
          <w:rFonts w:asciiTheme="majorBidi" w:eastAsiaTheme="minorHAnsi" w:hAnsiTheme="majorBidi" w:cstheme="majorBidi"/>
        </w:rPr>
      </w:pPr>
      <w:hyperlink r:id="rId59" w:history="1">
        <w:r w:rsidR="00FA7DFC" w:rsidRPr="00FA7DFC">
          <w:rPr>
            <w:rStyle w:val="Hyperlink"/>
            <w:rFonts w:asciiTheme="majorBidi" w:hAnsiTheme="majorBidi" w:cstheme="majorBidi"/>
            <w:color w:val="auto"/>
            <w:u w:val="none"/>
          </w:rPr>
          <w:t>http://www.essortment.com/all/goldstandards_rgvh.htm</w:t>
        </w:r>
      </w:hyperlink>
      <w:r w:rsidR="00A50B08" w:rsidRPr="00FA7DFC">
        <w:rPr>
          <w:rFonts w:asciiTheme="majorBidi" w:eastAsiaTheme="minorHAnsi" w:hAnsiTheme="majorBidi" w:cstheme="majorBidi"/>
        </w:rPr>
        <w:t>.</w:t>
      </w:r>
    </w:p>
    <w:p w:rsidR="00FA7DFC" w:rsidRPr="00FA7DFC" w:rsidRDefault="00FA7DFC" w:rsidP="00FA7DFC">
      <w:pPr>
        <w:pStyle w:val="ListParagraph"/>
        <w:numPr>
          <w:ilvl w:val="0"/>
          <w:numId w:val="8"/>
        </w:numPr>
        <w:spacing w:line="480" w:lineRule="auto"/>
      </w:pPr>
      <w:r w:rsidRPr="00FA7DFC">
        <w:t>http://</w:t>
      </w:r>
      <w:hyperlink r:id="rId60" w:history="1">
        <w:r w:rsidRPr="00FA7DFC">
          <w:rPr>
            <w:rStyle w:val="Hyperlink"/>
            <w:color w:val="auto"/>
            <w:u w:val="none"/>
          </w:rPr>
          <w:t>www.ssrn.com</w:t>
        </w:r>
      </w:hyperlink>
    </w:p>
    <w:p w:rsidR="00FA7DFC" w:rsidRPr="00FA7DFC" w:rsidRDefault="00FA7DFC" w:rsidP="00FA7DFC">
      <w:pPr>
        <w:pStyle w:val="ListParagraph"/>
        <w:numPr>
          <w:ilvl w:val="0"/>
          <w:numId w:val="8"/>
        </w:numPr>
        <w:spacing w:line="480" w:lineRule="auto"/>
      </w:pPr>
      <w:r w:rsidRPr="00FA7DFC">
        <w:t>http://</w:t>
      </w:r>
      <w:hyperlink r:id="rId61" w:history="1">
        <w:r w:rsidRPr="00FA7DFC">
          <w:rPr>
            <w:rStyle w:val="Hyperlink"/>
            <w:color w:val="auto"/>
            <w:u w:val="none"/>
          </w:rPr>
          <w:t>www.crsp.com</w:t>
        </w:r>
      </w:hyperlink>
    </w:p>
    <w:p w:rsidR="00FA7DFC" w:rsidRPr="00FA7DFC" w:rsidRDefault="00FA7DFC" w:rsidP="00FA7DFC">
      <w:pPr>
        <w:pStyle w:val="ListParagraph"/>
        <w:numPr>
          <w:ilvl w:val="0"/>
          <w:numId w:val="8"/>
        </w:numPr>
        <w:spacing w:line="480" w:lineRule="auto"/>
      </w:pPr>
      <w:r w:rsidRPr="00FA7DFC">
        <w:t>http://</w:t>
      </w:r>
      <w:hyperlink r:id="rId62" w:history="1">
        <w:r w:rsidRPr="00FA7DFC">
          <w:rPr>
            <w:rStyle w:val="Hyperlink"/>
            <w:color w:val="auto"/>
            <w:u w:val="none"/>
          </w:rPr>
          <w:t>www.teachmefinance.com</w:t>
        </w:r>
      </w:hyperlink>
    </w:p>
    <w:p w:rsidR="00FA7DFC" w:rsidRPr="0095298B" w:rsidRDefault="00FA7DFC" w:rsidP="00FA7DFC">
      <w:pPr>
        <w:pStyle w:val="ListParagraph"/>
        <w:numPr>
          <w:ilvl w:val="0"/>
          <w:numId w:val="8"/>
        </w:numPr>
        <w:spacing w:line="480" w:lineRule="auto"/>
      </w:pPr>
      <w:r>
        <w:t>http://</w:t>
      </w:r>
      <w:r w:rsidRPr="0095298B">
        <w:t>www.lottsa.com/page.aspx</w:t>
      </w:r>
    </w:p>
    <w:p w:rsidR="00FA7DFC" w:rsidRPr="0095298B" w:rsidRDefault="00FA7DFC" w:rsidP="00FA7DFC">
      <w:pPr>
        <w:pStyle w:val="ListParagraph"/>
        <w:numPr>
          <w:ilvl w:val="0"/>
          <w:numId w:val="8"/>
        </w:numPr>
        <w:spacing w:line="480" w:lineRule="auto"/>
      </w:pPr>
      <w:r w:rsidRPr="0095298B">
        <w:t>http://ezinearticles.com</w:t>
      </w:r>
    </w:p>
    <w:p w:rsidR="00FA7DFC" w:rsidRPr="0095298B" w:rsidRDefault="00FA7DFC" w:rsidP="00FA7DFC">
      <w:pPr>
        <w:pStyle w:val="ListParagraph"/>
        <w:numPr>
          <w:ilvl w:val="0"/>
          <w:numId w:val="8"/>
        </w:numPr>
        <w:spacing w:line="480" w:lineRule="auto"/>
      </w:pPr>
      <w:r>
        <w:t>http://</w:t>
      </w:r>
      <w:r w:rsidRPr="0095298B">
        <w:t>www.financescholar.com</w:t>
      </w:r>
    </w:p>
    <w:p w:rsidR="00FA7DFC" w:rsidRPr="000C075A" w:rsidRDefault="00E638C0" w:rsidP="00FA7DFC">
      <w:pPr>
        <w:pStyle w:val="ListParagraph"/>
        <w:numPr>
          <w:ilvl w:val="0"/>
          <w:numId w:val="8"/>
        </w:numPr>
        <w:spacing w:line="480" w:lineRule="auto"/>
      </w:pPr>
      <w:hyperlink r:id="rId63" w:history="1">
        <w:r w:rsidR="000C075A" w:rsidRPr="000C075A">
          <w:rPr>
            <w:rStyle w:val="Hyperlink"/>
            <w:color w:val="auto"/>
            <w:u w:val="none"/>
          </w:rPr>
          <w:t>http://www.investorwords.com</w:t>
        </w:r>
      </w:hyperlink>
    </w:p>
    <w:p w:rsidR="000C075A" w:rsidRPr="0095298B" w:rsidRDefault="000C075A" w:rsidP="000C075A">
      <w:pPr>
        <w:pStyle w:val="ListParagraph"/>
        <w:spacing w:line="480" w:lineRule="auto"/>
      </w:pPr>
    </w:p>
    <w:p w:rsidR="00FA7DFC" w:rsidRPr="00FD7834" w:rsidRDefault="00FA7DFC" w:rsidP="00FA7DFC">
      <w:pPr>
        <w:pStyle w:val="ListParagraph"/>
        <w:spacing w:after="200" w:line="480" w:lineRule="auto"/>
        <w:rPr>
          <w:rFonts w:asciiTheme="majorBidi" w:eastAsiaTheme="minorHAnsi" w:hAnsiTheme="majorBidi" w:cstheme="majorBidi"/>
        </w:rPr>
      </w:pPr>
    </w:p>
    <w:p w:rsidR="000C075A" w:rsidRDefault="000C075A">
      <w:pPr>
        <w:spacing w:after="200" w:line="276" w:lineRule="auto"/>
        <w:rPr>
          <w:rFonts w:asciiTheme="majorBidi" w:hAnsiTheme="majorBidi" w:cstheme="majorBidi"/>
        </w:rPr>
      </w:pPr>
      <w:r>
        <w:rPr>
          <w:rFonts w:asciiTheme="majorBidi" w:hAnsiTheme="majorBidi" w:cstheme="majorBidi"/>
        </w:rPr>
        <w:br w:type="page"/>
      </w:r>
    </w:p>
    <w:p w:rsidR="000C075A" w:rsidRDefault="000C075A" w:rsidP="000C075A">
      <w:pPr>
        <w:jc w:val="center"/>
        <w:rPr>
          <w:rFonts w:asciiTheme="majorBidi" w:hAnsiTheme="majorBidi" w:cstheme="majorBidi"/>
          <w:b/>
          <w:bCs/>
          <w:lang w:bidi="ar-EG"/>
        </w:rPr>
      </w:pPr>
      <w:r w:rsidRPr="002C323F">
        <w:rPr>
          <w:rFonts w:asciiTheme="majorBidi" w:hAnsiTheme="majorBidi" w:cstheme="majorBidi"/>
          <w:b/>
          <w:bCs/>
          <w:lang w:bidi="ar-EG"/>
        </w:rPr>
        <w:lastRenderedPageBreak/>
        <w:t>Appendix</w:t>
      </w:r>
    </w:p>
    <w:p w:rsidR="000C075A" w:rsidRDefault="000C075A" w:rsidP="000C075A">
      <w:pPr>
        <w:jc w:val="center"/>
        <w:rPr>
          <w:rFonts w:asciiTheme="majorBidi" w:hAnsiTheme="majorBidi" w:cstheme="majorBidi"/>
          <w:b/>
          <w:bCs/>
          <w:rtl/>
          <w:lang w:bidi="ar-EG"/>
        </w:rPr>
      </w:pPr>
    </w:p>
    <w:p w:rsidR="000C075A" w:rsidRDefault="000C075A" w:rsidP="000C075A">
      <w:pPr>
        <w:rPr>
          <w:rFonts w:asciiTheme="majorBidi" w:hAnsiTheme="majorBidi" w:cstheme="majorBidi"/>
          <w:b/>
          <w:bCs/>
          <w:lang w:bidi="ar-EG"/>
        </w:rPr>
      </w:pPr>
      <w:r w:rsidRPr="00006D66">
        <w:rPr>
          <w:rFonts w:asciiTheme="majorBidi" w:hAnsiTheme="majorBidi" w:cstheme="majorBidi"/>
          <w:b/>
          <w:bCs/>
          <w:lang w:bidi="ar-EG"/>
        </w:rPr>
        <w:t>Table (1) the consumer price index:</w:t>
      </w:r>
    </w:p>
    <w:p w:rsidR="000C075A" w:rsidRPr="00006D66" w:rsidRDefault="000C075A" w:rsidP="000C075A">
      <w:pPr>
        <w:jc w:val="right"/>
        <w:rPr>
          <w:rFonts w:asciiTheme="majorBidi" w:hAnsiTheme="majorBidi" w:cstheme="majorBidi"/>
          <w:b/>
          <w:bCs/>
          <w:lang w:bidi="ar-EG"/>
        </w:rPr>
      </w:pPr>
    </w:p>
    <w:tbl>
      <w:tblPr>
        <w:tblStyle w:val="TableGrid"/>
        <w:bidiVisual/>
        <w:tblW w:w="0" w:type="auto"/>
        <w:tblLook w:val="04A0"/>
      </w:tblPr>
      <w:tblGrid>
        <w:gridCol w:w="2324"/>
        <w:gridCol w:w="1843"/>
        <w:gridCol w:w="1418"/>
        <w:gridCol w:w="1695"/>
        <w:gridCol w:w="1242"/>
      </w:tblGrid>
      <w:tr w:rsidR="000C075A" w:rsidTr="00F01F27">
        <w:tc>
          <w:tcPr>
            <w:tcW w:w="2324" w:type="dxa"/>
          </w:tcPr>
          <w:p w:rsidR="000C075A" w:rsidRDefault="000C075A" w:rsidP="000C075A">
            <w:pPr>
              <w:rPr>
                <w:rFonts w:asciiTheme="majorBidi" w:hAnsiTheme="majorBidi" w:cstheme="majorBidi"/>
                <w:b/>
                <w:bCs/>
                <w:sz w:val="24"/>
                <w:szCs w:val="24"/>
                <w:lang w:bidi="ar-EG"/>
              </w:rPr>
            </w:pPr>
            <w:r>
              <w:rPr>
                <w:rFonts w:asciiTheme="majorBidi" w:hAnsiTheme="majorBidi" w:cstheme="majorBidi"/>
                <w:b/>
                <w:bCs/>
                <w:sz w:val="24"/>
                <w:szCs w:val="24"/>
                <w:lang w:bidi="ar-EG"/>
              </w:rPr>
              <w:t>CPI in Australia</w:t>
            </w:r>
          </w:p>
        </w:tc>
        <w:tc>
          <w:tcPr>
            <w:tcW w:w="1843" w:type="dxa"/>
          </w:tcPr>
          <w:p w:rsidR="000C075A" w:rsidRDefault="000C075A" w:rsidP="000C075A">
            <w:pPr>
              <w:rPr>
                <w:rFonts w:asciiTheme="majorBidi" w:hAnsiTheme="majorBidi" w:cstheme="majorBidi"/>
                <w:b/>
                <w:bCs/>
                <w:sz w:val="24"/>
                <w:szCs w:val="24"/>
                <w:lang w:bidi="ar-EG"/>
              </w:rPr>
            </w:pPr>
            <w:r>
              <w:rPr>
                <w:rFonts w:asciiTheme="majorBidi" w:hAnsiTheme="majorBidi" w:cstheme="majorBidi"/>
                <w:b/>
                <w:bCs/>
                <w:sz w:val="24"/>
                <w:szCs w:val="24"/>
                <w:lang w:bidi="ar-EG"/>
              </w:rPr>
              <w:t>CPI in Japan</w:t>
            </w:r>
          </w:p>
        </w:tc>
        <w:tc>
          <w:tcPr>
            <w:tcW w:w="1418" w:type="dxa"/>
          </w:tcPr>
          <w:p w:rsidR="000C075A" w:rsidRDefault="000C075A" w:rsidP="000C075A">
            <w:pPr>
              <w:rPr>
                <w:rFonts w:asciiTheme="majorBidi" w:hAnsiTheme="majorBidi" w:cstheme="majorBidi"/>
                <w:b/>
                <w:bCs/>
                <w:sz w:val="24"/>
                <w:szCs w:val="24"/>
                <w:lang w:bidi="ar-EG"/>
              </w:rPr>
            </w:pPr>
            <w:r>
              <w:rPr>
                <w:rFonts w:asciiTheme="majorBidi" w:hAnsiTheme="majorBidi" w:cstheme="majorBidi"/>
                <w:b/>
                <w:bCs/>
                <w:sz w:val="24"/>
                <w:szCs w:val="24"/>
                <w:lang w:bidi="ar-EG"/>
              </w:rPr>
              <w:t>CPI in UK</w:t>
            </w:r>
          </w:p>
        </w:tc>
        <w:tc>
          <w:tcPr>
            <w:tcW w:w="1695" w:type="dxa"/>
          </w:tcPr>
          <w:p w:rsidR="000C075A" w:rsidRPr="0085224A" w:rsidRDefault="000C075A" w:rsidP="000C075A">
            <w:pPr>
              <w:rPr>
                <w:rFonts w:asciiTheme="majorBidi" w:hAnsiTheme="majorBidi" w:cstheme="majorBidi"/>
                <w:sz w:val="20"/>
                <w:szCs w:val="20"/>
                <w:vertAlign w:val="subscript"/>
                <w:lang w:bidi="ar-EG"/>
              </w:rPr>
            </w:pPr>
            <w:r>
              <w:rPr>
                <w:rFonts w:asciiTheme="majorBidi" w:hAnsiTheme="majorBidi" w:cstheme="majorBidi"/>
                <w:b/>
                <w:bCs/>
                <w:sz w:val="24"/>
                <w:szCs w:val="24"/>
                <w:lang w:bidi="ar-EG"/>
              </w:rPr>
              <w:t xml:space="preserve">CPI in USA </w:t>
            </w:r>
            <w:r w:rsidR="0085224A">
              <w:rPr>
                <w:rFonts w:asciiTheme="majorBidi" w:hAnsiTheme="majorBidi" w:cstheme="majorBidi"/>
                <w:sz w:val="20"/>
                <w:szCs w:val="20"/>
                <w:lang w:bidi="ar-EG"/>
              </w:rPr>
              <w:t>(1)</w:t>
            </w:r>
          </w:p>
        </w:tc>
        <w:tc>
          <w:tcPr>
            <w:tcW w:w="1242" w:type="dxa"/>
          </w:tcPr>
          <w:p w:rsidR="000C075A" w:rsidRDefault="000C075A" w:rsidP="000C075A">
            <w:pPr>
              <w:rPr>
                <w:rFonts w:asciiTheme="majorBidi" w:hAnsiTheme="majorBidi" w:cstheme="majorBidi"/>
                <w:b/>
                <w:bCs/>
                <w:sz w:val="24"/>
                <w:szCs w:val="24"/>
                <w:lang w:bidi="ar-EG"/>
              </w:rPr>
            </w:pPr>
            <w:r>
              <w:rPr>
                <w:rFonts w:asciiTheme="majorBidi" w:hAnsiTheme="majorBidi" w:cstheme="majorBidi"/>
                <w:b/>
                <w:bCs/>
                <w:sz w:val="24"/>
                <w:szCs w:val="24"/>
                <w:lang w:bidi="ar-EG"/>
              </w:rPr>
              <w:t>Year</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18.1</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33.8</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80</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40.5</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1971</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19.4</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35.2</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85.7</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41.8</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1972</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20.5</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37.5</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93.5</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44.4</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1973</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23.3</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45.8</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108.5</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49.3</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1974</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27.4</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53.8</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134.8</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53.8</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1975</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31</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58.5</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157.1</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56.9</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1976</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35.3</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64</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182</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60.6</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1977</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38.2</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66.9</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197.1</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65.2</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1978</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41.3</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69.3</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223.5</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72.6</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1979</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45.7</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73.9</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263.7</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82.4</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1980</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50</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79.3</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295</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90.9</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1981</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55.3</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81.8</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220.4</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96.5</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1982</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61.6</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83.6</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335.1</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99.6</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1983</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65.2</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85.2</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351.8</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103.9</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1984</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68.1</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87.5</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373.2</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107.6</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1985</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74.4</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88.8</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385.9</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109.3</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1986</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81.4</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87.8</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402</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113.6</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1987</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87</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88.6</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421.7</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118.3</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1988</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92.9</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89.6</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454.5</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124</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1989</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100.9</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92.5</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497.5</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130.7</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1990</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105.8</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96.2</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526.7</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136.2</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1991</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107.6</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97.9</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546.4</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140.3</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1992</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108.9</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99.1</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555.1</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144.5</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1993</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110.4</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100.4</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568.5</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148.2</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1994</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114.7</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100.9</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588.2</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152.4</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1995</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119</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100.4</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602.4</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156.9</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1996</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120.5</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101</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621.3</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160.5</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1997</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120.3</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102.9</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642.6</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163</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1998</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121.8</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103.1</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652.5</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166.6</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1999</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125.2</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102.4</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671.8</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172.2</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2000</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132.7</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102</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683.7</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177.1</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2001</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136.6</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100.6</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695.1</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179.9</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2002</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141.3</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100.2</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715.2</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184</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2003</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144.1</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99.9</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724.816</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188.9</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2004</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147.5</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100.1</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740</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195.3</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2005</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151.9</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100</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757.3</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201.6</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2006</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155.6</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100</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774.8</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207.3</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2007</w:t>
            </w:r>
          </w:p>
        </w:tc>
      </w:tr>
      <w:tr w:rsidR="000C075A" w:rsidTr="00F01F27">
        <w:tc>
          <w:tcPr>
            <w:tcW w:w="2324"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162.2</w:t>
            </w:r>
          </w:p>
        </w:tc>
        <w:tc>
          <w:tcPr>
            <w:tcW w:w="1843"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100.7</w:t>
            </w:r>
          </w:p>
        </w:tc>
        <w:tc>
          <w:tcPr>
            <w:tcW w:w="1418"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802.8</w:t>
            </w:r>
          </w:p>
        </w:tc>
        <w:tc>
          <w:tcPr>
            <w:tcW w:w="1695" w:type="dxa"/>
            <w:vAlign w:val="bottom"/>
          </w:tcPr>
          <w:p w:rsidR="000C075A" w:rsidRPr="00006D66" w:rsidRDefault="000C075A" w:rsidP="00EF4AE9">
            <w:pPr>
              <w:rPr>
                <w:rFonts w:asciiTheme="majorBidi" w:hAnsiTheme="majorBidi" w:cstheme="majorBidi"/>
                <w:color w:val="000000"/>
                <w:sz w:val="24"/>
                <w:szCs w:val="24"/>
              </w:rPr>
            </w:pPr>
            <w:r w:rsidRPr="00006D66">
              <w:rPr>
                <w:rFonts w:asciiTheme="majorBidi" w:hAnsiTheme="majorBidi" w:cstheme="majorBidi"/>
                <w:color w:val="000000"/>
                <w:sz w:val="24"/>
                <w:szCs w:val="24"/>
              </w:rPr>
              <w:t>215.3</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2008</w:t>
            </w:r>
          </w:p>
        </w:tc>
      </w:tr>
    </w:tbl>
    <w:p w:rsidR="000C075A" w:rsidRDefault="000C075A" w:rsidP="000C075A">
      <w:pPr>
        <w:jc w:val="right"/>
        <w:rPr>
          <w:rFonts w:asciiTheme="majorBidi" w:hAnsiTheme="majorBidi" w:cstheme="majorBidi"/>
          <w:b/>
          <w:bCs/>
          <w:lang w:bidi="ar-EG"/>
        </w:rPr>
      </w:pPr>
    </w:p>
    <w:p w:rsidR="000C075A" w:rsidRDefault="000C075A" w:rsidP="000C075A">
      <w:pPr>
        <w:jc w:val="right"/>
        <w:rPr>
          <w:rFonts w:asciiTheme="majorBidi" w:hAnsiTheme="majorBidi" w:cstheme="majorBidi"/>
          <w:b/>
          <w:bCs/>
          <w:lang w:bidi="ar-EG"/>
        </w:rPr>
      </w:pPr>
    </w:p>
    <w:p w:rsidR="000C075A" w:rsidRPr="00F01F27" w:rsidRDefault="00F01F27" w:rsidP="00F01F27">
      <w:pPr>
        <w:rPr>
          <w:rFonts w:asciiTheme="majorBidi" w:hAnsiTheme="majorBidi" w:cstheme="majorBidi"/>
          <w:lang w:bidi="ar-EG"/>
        </w:rPr>
      </w:pPr>
      <w:r w:rsidRPr="00F01F27">
        <w:rPr>
          <w:rFonts w:asciiTheme="majorBidi" w:hAnsiTheme="majorBidi" w:cstheme="majorBidi"/>
          <w:lang w:bidi="ar-EG"/>
        </w:rPr>
        <w:t xml:space="preserve">Source: </w:t>
      </w:r>
      <w:hyperlink r:id="rId64" w:history="1">
        <w:r w:rsidRPr="00F01F27">
          <w:rPr>
            <w:rStyle w:val="Hyperlink"/>
            <w:color w:val="auto"/>
            <w:u w:val="none"/>
          </w:rPr>
          <w:t>http://www.rateinflation.com/consumer-price-index</w:t>
        </w:r>
      </w:hyperlink>
      <w:r w:rsidRPr="00F01F27">
        <w:t>.</w:t>
      </w:r>
    </w:p>
    <w:p w:rsidR="000C075A" w:rsidRPr="00F01F27" w:rsidRDefault="000C075A" w:rsidP="000C075A">
      <w:pPr>
        <w:jc w:val="right"/>
        <w:rPr>
          <w:rFonts w:asciiTheme="majorBidi" w:hAnsiTheme="majorBidi" w:cstheme="majorBidi"/>
          <w:lang w:bidi="ar-EG"/>
        </w:rPr>
      </w:pPr>
    </w:p>
    <w:p w:rsidR="000C075A" w:rsidRDefault="000C075A" w:rsidP="000C075A">
      <w:pPr>
        <w:jc w:val="right"/>
        <w:rPr>
          <w:rFonts w:asciiTheme="majorBidi" w:hAnsiTheme="majorBidi" w:cstheme="majorBidi"/>
          <w:b/>
          <w:bCs/>
          <w:lang w:bidi="ar-EG"/>
        </w:rPr>
      </w:pPr>
    </w:p>
    <w:p w:rsidR="000C075A" w:rsidRDefault="000C075A" w:rsidP="000C075A">
      <w:pPr>
        <w:rPr>
          <w:rFonts w:asciiTheme="majorBidi" w:hAnsiTheme="majorBidi" w:cstheme="majorBidi"/>
          <w:b/>
          <w:bCs/>
          <w:lang w:bidi="ar-EG"/>
        </w:rPr>
      </w:pPr>
      <w:r w:rsidRPr="00006D66">
        <w:rPr>
          <w:rFonts w:asciiTheme="majorBidi" w:hAnsiTheme="majorBidi" w:cstheme="majorBidi"/>
          <w:b/>
          <w:bCs/>
          <w:lang w:bidi="ar-EG"/>
        </w:rPr>
        <w:t>Table (</w:t>
      </w:r>
      <w:r>
        <w:rPr>
          <w:rFonts w:asciiTheme="majorBidi" w:hAnsiTheme="majorBidi" w:cstheme="majorBidi"/>
          <w:b/>
          <w:bCs/>
          <w:lang w:bidi="ar-EG"/>
        </w:rPr>
        <w:t>2</w:t>
      </w:r>
      <w:r w:rsidRPr="00006D66">
        <w:rPr>
          <w:rFonts w:asciiTheme="majorBidi" w:hAnsiTheme="majorBidi" w:cstheme="majorBidi"/>
          <w:b/>
          <w:bCs/>
          <w:lang w:bidi="ar-EG"/>
        </w:rPr>
        <w:t xml:space="preserve">) the </w:t>
      </w:r>
      <w:r>
        <w:rPr>
          <w:rFonts w:asciiTheme="majorBidi" w:hAnsiTheme="majorBidi" w:cstheme="majorBidi"/>
          <w:b/>
          <w:bCs/>
          <w:lang w:bidi="ar-EG"/>
        </w:rPr>
        <w:t xml:space="preserve">adjusted </w:t>
      </w:r>
      <w:r w:rsidRPr="00006D66">
        <w:rPr>
          <w:rFonts w:asciiTheme="majorBidi" w:hAnsiTheme="majorBidi" w:cstheme="majorBidi"/>
          <w:b/>
          <w:bCs/>
          <w:lang w:bidi="ar-EG"/>
        </w:rPr>
        <w:t>consumer price index:</w:t>
      </w:r>
    </w:p>
    <w:p w:rsidR="000C075A" w:rsidRPr="00006D66" w:rsidRDefault="000C075A" w:rsidP="000C075A">
      <w:pPr>
        <w:jc w:val="right"/>
        <w:rPr>
          <w:rFonts w:asciiTheme="majorBidi" w:hAnsiTheme="majorBidi" w:cstheme="majorBidi"/>
          <w:b/>
          <w:bCs/>
          <w:lang w:bidi="ar-EG"/>
        </w:rPr>
      </w:pPr>
    </w:p>
    <w:tbl>
      <w:tblPr>
        <w:tblStyle w:val="TableGrid"/>
        <w:bidiVisual/>
        <w:tblW w:w="0" w:type="auto"/>
        <w:tblLook w:val="04A0"/>
      </w:tblPr>
      <w:tblGrid>
        <w:gridCol w:w="2177"/>
        <w:gridCol w:w="1842"/>
        <w:gridCol w:w="1560"/>
        <w:gridCol w:w="1701"/>
        <w:gridCol w:w="1242"/>
      </w:tblGrid>
      <w:tr w:rsidR="000C075A" w:rsidTr="00EF4AE9">
        <w:tc>
          <w:tcPr>
            <w:tcW w:w="2177" w:type="dxa"/>
          </w:tcPr>
          <w:p w:rsidR="000C075A" w:rsidRDefault="000C075A" w:rsidP="000C075A">
            <w:pPr>
              <w:rPr>
                <w:rFonts w:asciiTheme="majorBidi" w:hAnsiTheme="majorBidi" w:cstheme="majorBidi"/>
                <w:b/>
                <w:bCs/>
                <w:sz w:val="24"/>
                <w:szCs w:val="24"/>
                <w:rtl/>
                <w:lang w:bidi="ar-EG"/>
              </w:rPr>
            </w:pPr>
            <w:r>
              <w:rPr>
                <w:rFonts w:asciiTheme="majorBidi" w:hAnsiTheme="majorBidi" w:cstheme="majorBidi"/>
                <w:b/>
                <w:bCs/>
                <w:sz w:val="24"/>
                <w:szCs w:val="24"/>
                <w:lang w:bidi="ar-EG"/>
              </w:rPr>
              <w:t>ACPI in Australia</w:t>
            </w:r>
          </w:p>
        </w:tc>
        <w:tc>
          <w:tcPr>
            <w:tcW w:w="1842" w:type="dxa"/>
          </w:tcPr>
          <w:p w:rsidR="000C075A" w:rsidRDefault="000C075A" w:rsidP="000C075A">
            <w:pPr>
              <w:rPr>
                <w:rFonts w:asciiTheme="majorBidi" w:hAnsiTheme="majorBidi" w:cstheme="majorBidi"/>
                <w:b/>
                <w:bCs/>
                <w:sz w:val="24"/>
                <w:szCs w:val="24"/>
                <w:lang w:bidi="ar-EG"/>
              </w:rPr>
            </w:pPr>
            <w:r>
              <w:rPr>
                <w:rFonts w:asciiTheme="majorBidi" w:hAnsiTheme="majorBidi" w:cstheme="majorBidi"/>
                <w:b/>
                <w:bCs/>
                <w:sz w:val="24"/>
                <w:szCs w:val="24"/>
                <w:lang w:bidi="ar-EG"/>
              </w:rPr>
              <w:t>ACPI in Japan</w:t>
            </w:r>
          </w:p>
        </w:tc>
        <w:tc>
          <w:tcPr>
            <w:tcW w:w="1560" w:type="dxa"/>
          </w:tcPr>
          <w:p w:rsidR="000C075A" w:rsidRDefault="000C075A" w:rsidP="000C075A">
            <w:pPr>
              <w:rPr>
                <w:rFonts w:asciiTheme="majorBidi" w:hAnsiTheme="majorBidi" w:cstheme="majorBidi"/>
                <w:b/>
                <w:bCs/>
                <w:sz w:val="24"/>
                <w:szCs w:val="24"/>
                <w:rtl/>
                <w:lang w:bidi="ar-EG"/>
              </w:rPr>
            </w:pPr>
            <w:r>
              <w:rPr>
                <w:rFonts w:asciiTheme="majorBidi" w:hAnsiTheme="majorBidi" w:cstheme="majorBidi"/>
                <w:b/>
                <w:bCs/>
                <w:sz w:val="24"/>
                <w:szCs w:val="24"/>
                <w:lang w:bidi="ar-EG"/>
              </w:rPr>
              <w:t>ACPI in UK</w:t>
            </w:r>
          </w:p>
        </w:tc>
        <w:tc>
          <w:tcPr>
            <w:tcW w:w="1701" w:type="dxa"/>
          </w:tcPr>
          <w:p w:rsidR="000C075A" w:rsidRDefault="000C075A" w:rsidP="000C075A">
            <w:pPr>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ACPI in USA </w:t>
            </w:r>
          </w:p>
        </w:tc>
        <w:tc>
          <w:tcPr>
            <w:tcW w:w="1242" w:type="dxa"/>
          </w:tcPr>
          <w:p w:rsidR="000C075A" w:rsidRDefault="000C075A" w:rsidP="000C075A">
            <w:pPr>
              <w:rPr>
                <w:rFonts w:asciiTheme="majorBidi" w:hAnsiTheme="majorBidi" w:cstheme="majorBidi"/>
                <w:b/>
                <w:bCs/>
                <w:sz w:val="24"/>
                <w:szCs w:val="24"/>
                <w:lang w:bidi="ar-EG"/>
              </w:rPr>
            </w:pPr>
            <w:r>
              <w:rPr>
                <w:rFonts w:asciiTheme="majorBidi" w:hAnsiTheme="majorBidi" w:cstheme="majorBidi"/>
                <w:b/>
                <w:bCs/>
                <w:sz w:val="24"/>
                <w:szCs w:val="24"/>
                <w:lang w:bidi="ar-EG"/>
              </w:rPr>
              <w:t>Year</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248.1401275</w:t>
            </w:r>
          </w:p>
        </w:tc>
        <w:tc>
          <w:tcPr>
            <w:tcW w:w="1842" w:type="dxa"/>
            <w:vAlign w:val="bottom"/>
          </w:tcPr>
          <w:p w:rsidR="000C075A" w:rsidRDefault="000C075A" w:rsidP="00EF4AE9">
            <w:pPr>
              <w:rPr>
                <w:rFonts w:ascii="Arial" w:hAnsi="Arial" w:cs="Arial"/>
                <w:color w:val="000000"/>
              </w:rPr>
            </w:pPr>
            <w:r>
              <w:rPr>
                <w:rFonts w:ascii="Arial" w:hAnsi="Arial" w:cs="Arial"/>
                <w:color w:val="000000"/>
              </w:rPr>
              <w:t>93.82130927</w:t>
            </w:r>
          </w:p>
        </w:tc>
        <w:tc>
          <w:tcPr>
            <w:tcW w:w="1560" w:type="dxa"/>
            <w:vAlign w:val="bottom"/>
          </w:tcPr>
          <w:p w:rsidR="000C075A" w:rsidRDefault="000C075A" w:rsidP="00EF4AE9">
            <w:pPr>
              <w:rPr>
                <w:rFonts w:ascii="Arial" w:hAnsi="Arial" w:cs="Arial"/>
                <w:color w:val="000000"/>
              </w:rPr>
            </w:pPr>
            <w:r>
              <w:rPr>
                <w:rFonts w:ascii="Arial" w:hAnsi="Arial" w:cs="Arial"/>
                <w:color w:val="000000"/>
              </w:rPr>
              <w:t>190.5247</w:t>
            </w:r>
          </w:p>
        </w:tc>
        <w:tc>
          <w:tcPr>
            <w:tcW w:w="1701" w:type="dxa"/>
            <w:vAlign w:val="bottom"/>
          </w:tcPr>
          <w:p w:rsidR="000C075A" w:rsidRDefault="000C075A" w:rsidP="00EF4AE9">
            <w:pPr>
              <w:rPr>
                <w:rFonts w:ascii="Arial" w:hAnsi="Arial" w:cs="Arial"/>
                <w:color w:val="000000"/>
              </w:rPr>
            </w:pPr>
            <w:r>
              <w:rPr>
                <w:rFonts w:ascii="Arial" w:hAnsi="Arial" w:cs="Arial"/>
                <w:color w:val="000000"/>
              </w:rPr>
              <w:t>425.7385478</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1971</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194.3016259</w:t>
            </w:r>
          </w:p>
        </w:tc>
        <w:tc>
          <w:tcPr>
            <w:tcW w:w="1842" w:type="dxa"/>
            <w:vAlign w:val="bottom"/>
          </w:tcPr>
          <w:p w:rsidR="000C075A" w:rsidRDefault="000C075A" w:rsidP="00EF4AE9">
            <w:pPr>
              <w:rPr>
                <w:rFonts w:ascii="Arial" w:hAnsi="Arial" w:cs="Arial"/>
                <w:color w:val="000000"/>
              </w:rPr>
            </w:pPr>
            <w:r>
              <w:rPr>
                <w:rFonts w:ascii="Arial" w:hAnsi="Arial" w:cs="Arial"/>
                <w:color w:val="000000"/>
              </w:rPr>
              <w:t>78.00794389</w:t>
            </w:r>
          </w:p>
        </w:tc>
        <w:tc>
          <w:tcPr>
            <w:tcW w:w="1560" w:type="dxa"/>
            <w:vAlign w:val="bottom"/>
          </w:tcPr>
          <w:p w:rsidR="000C075A" w:rsidRDefault="000C075A" w:rsidP="00EF4AE9">
            <w:pPr>
              <w:rPr>
                <w:rFonts w:ascii="Arial" w:hAnsi="Arial" w:cs="Arial"/>
                <w:color w:val="000000"/>
              </w:rPr>
            </w:pPr>
            <w:r>
              <w:rPr>
                <w:rFonts w:ascii="Arial" w:hAnsi="Arial" w:cs="Arial"/>
                <w:color w:val="000000"/>
              </w:rPr>
              <w:t>145.6446</w:t>
            </w:r>
          </w:p>
        </w:tc>
        <w:tc>
          <w:tcPr>
            <w:tcW w:w="1701" w:type="dxa"/>
            <w:vAlign w:val="bottom"/>
          </w:tcPr>
          <w:p w:rsidR="000C075A" w:rsidRDefault="000C075A" w:rsidP="00EF4AE9">
            <w:pPr>
              <w:rPr>
                <w:rFonts w:ascii="Arial" w:hAnsi="Arial" w:cs="Arial"/>
                <w:color w:val="000000"/>
              </w:rPr>
            </w:pPr>
            <w:r>
              <w:rPr>
                <w:rFonts w:ascii="Arial" w:hAnsi="Arial" w:cs="Arial"/>
                <w:color w:val="000000"/>
              </w:rPr>
              <w:t>305.5220782</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1972</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146.6744145</w:t>
            </w:r>
          </w:p>
        </w:tc>
        <w:tc>
          <w:tcPr>
            <w:tcW w:w="1842" w:type="dxa"/>
            <w:vAlign w:val="bottom"/>
          </w:tcPr>
          <w:p w:rsidR="000C075A" w:rsidRDefault="000C075A" w:rsidP="00EF4AE9">
            <w:pPr>
              <w:rPr>
                <w:rFonts w:ascii="Arial" w:hAnsi="Arial" w:cs="Arial"/>
                <w:color w:val="000000"/>
              </w:rPr>
            </w:pPr>
            <w:r>
              <w:rPr>
                <w:rFonts w:ascii="Arial" w:hAnsi="Arial" w:cs="Arial"/>
                <w:color w:val="000000"/>
              </w:rPr>
              <w:t>55.67650535</w:t>
            </w:r>
          </w:p>
        </w:tc>
        <w:tc>
          <w:tcPr>
            <w:tcW w:w="1560" w:type="dxa"/>
            <w:vAlign w:val="bottom"/>
          </w:tcPr>
          <w:p w:rsidR="000C075A" w:rsidRDefault="000C075A" w:rsidP="00EF4AE9">
            <w:pPr>
              <w:rPr>
                <w:rFonts w:ascii="Arial" w:hAnsi="Arial" w:cs="Arial"/>
                <w:color w:val="000000"/>
              </w:rPr>
            </w:pPr>
            <w:r>
              <w:rPr>
                <w:rFonts w:ascii="Arial" w:hAnsi="Arial" w:cs="Arial"/>
                <w:color w:val="000000"/>
              </w:rPr>
              <w:t>93.50064</w:t>
            </w:r>
          </w:p>
        </w:tc>
        <w:tc>
          <w:tcPr>
            <w:tcW w:w="1701" w:type="dxa"/>
            <w:vAlign w:val="bottom"/>
          </w:tcPr>
          <w:p w:rsidR="000C075A" w:rsidRDefault="000C075A" w:rsidP="00EF4AE9">
            <w:pPr>
              <w:rPr>
                <w:rFonts w:ascii="Arial" w:hAnsi="Arial" w:cs="Arial"/>
                <w:color w:val="000000"/>
              </w:rPr>
            </w:pPr>
            <w:r>
              <w:rPr>
                <w:rFonts w:ascii="Arial" w:hAnsi="Arial" w:cs="Arial"/>
                <w:color w:val="000000"/>
              </w:rPr>
              <w:t>194.6688551</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1973</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106.7885082</w:t>
            </w:r>
          </w:p>
        </w:tc>
        <w:tc>
          <w:tcPr>
            <w:tcW w:w="1842" w:type="dxa"/>
            <w:vAlign w:val="bottom"/>
          </w:tcPr>
          <w:p w:rsidR="000C075A" w:rsidRDefault="000C075A" w:rsidP="00EF4AE9">
            <w:pPr>
              <w:rPr>
                <w:rFonts w:ascii="Arial" w:hAnsi="Arial" w:cs="Arial"/>
                <w:color w:val="000000"/>
              </w:rPr>
            </w:pPr>
            <w:r>
              <w:rPr>
                <w:rFonts w:ascii="Arial" w:hAnsi="Arial" w:cs="Arial"/>
                <w:color w:val="000000"/>
              </w:rPr>
              <w:t>39.97704778</w:t>
            </w:r>
          </w:p>
        </w:tc>
        <w:tc>
          <w:tcPr>
            <w:tcW w:w="1560" w:type="dxa"/>
            <w:vAlign w:val="bottom"/>
          </w:tcPr>
          <w:p w:rsidR="000C075A" w:rsidRDefault="000C075A" w:rsidP="00EF4AE9">
            <w:pPr>
              <w:rPr>
                <w:rFonts w:ascii="Arial" w:hAnsi="Arial" w:cs="Arial"/>
                <w:color w:val="000000"/>
              </w:rPr>
            </w:pPr>
            <w:r>
              <w:rPr>
                <w:rFonts w:ascii="Arial" w:hAnsi="Arial" w:cs="Arial"/>
                <w:color w:val="000000"/>
              </w:rPr>
              <w:t>65.47376</w:t>
            </w:r>
          </w:p>
        </w:tc>
        <w:tc>
          <w:tcPr>
            <w:tcW w:w="1701" w:type="dxa"/>
            <w:vAlign w:val="bottom"/>
          </w:tcPr>
          <w:p w:rsidR="000C075A" w:rsidRDefault="000C075A" w:rsidP="00EF4AE9">
            <w:pPr>
              <w:rPr>
                <w:rFonts w:ascii="Arial" w:hAnsi="Arial" w:cs="Arial"/>
                <w:color w:val="000000"/>
              </w:rPr>
            </w:pPr>
            <w:r>
              <w:rPr>
                <w:rFonts w:ascii="Arial" w:hAnsi="Arial" w:cs="Arial"/>
                <w:color w:val="000000"/>
              </w:rPr>
              <w:t>136.6954531</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1974</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109.351731</w:t>
            </w:r>
          </w:p>
        </w:tc>
        <w:tc>
          <w:tcPr>
            <w:tcW w:w="1842" w:type="dxa"/>
            <w:vAlign w:val="bottom"/>
          </w:tcPr>
          <w:p w:rsidR="000C075A" w:rsidRDefault="000C075A" w:rsidP="00EF4AE9">
            <w:pPr>
              <w:rPr>
                <w:rFonts w:ascii="Arial" w:hAnsi="Arial" w:cs="Arial"/>
                <w:color w:val="000000"/>
              </w:rPr>
            </w:pPr>
            <w:r>
              <w:rPr>
                <w:rFonts w:ascii="Arial" w:hAnsi="Arial" w:cs="Arial"/>
                <w:color w:val="000000"/>
              </w:rPr>
              <w:t>44.22633674</w:t>
            </w:r>
          </w:p>
        </w:tc>
        <w:tc>
          <w:tcPr>
            <w:tcW w:w="1560" w:type="dxa"/>
            <w:vAlign w:val="bottom"/>
          </w:tcPr>
          <w:p w:rsidR="000C075A" w:rsidRDefault="000C075A" w:rsidP="00EF4AE9">
            <w:pPr>
              <w:rPr>
                <w:rFonts w:ascii="Arial" w:hAnsi="Arial" w:cs="Arial"/>
                <w:color w:val="000000"/>
              </w:rPr>
            </w:pPr>
            <w:r>
              <w:rPr>
                <w:rFonts w:ascii="Arial" w:hAnsi="Arial" w:cs="Arial"/>
                <w:color w:val="000000"/>
              </w:rPr>
              <w:t>73.69251</w:t>
            </w:r>
          </w:p>
        </w:tc>
        <w:tc>
          <w:tcPr>
            <w:tcW w:w="1701" w:type="dxa"/>
            <w:vAlign w:val="bottom"/>
          </w:tcPr>
          <w:p w:rsidR="000C075A" w:rsidRDefault="000C075A" w:rsidP="00EF4AE9">
            <w:pPr>
              <w:rPr>
                <w:rFonts w:ascii="Arial" w:hAnsi="Arial" w:cs="Arial"/>
                <w:color w:val="000000"/>
              </w:rPr>
            </w:pPr>
            <w:r>
              <w:rPr>
                <w:rFonts w:ascii="Arial" w:hAnsi="Arial" w:cs="Arial"/>
                <w:color w:val="000000"/>
              </w:rPr>
              <w:t>142.8111386</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1975</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149.2733329</w:t>
            </w:r>
          </w:p>
        </w:tc>
        <w:tc>
          <w:tcPr>
            <w:tcW w:w="1842" w:type="dxa"/>
            <w:vAlign w:val="bottom"/>
          </w:tcPr>
          <w:p w:rsidR="000C075A" w:rsidRDefault="000C075A" w:rsidP="00EF4AE9">
            <w:pPr>
              <w:rPr>
                <w:rFonts w:ascii="Arial" w:hAnsi="Arial" w:cs="Arial"/>
                <w:color w:val="000000"/>
              </w:rPr>
            </w:pPr>
            <w:r>
              <w:rPr>
                <w:rFonts w:ascii="Arial" w:hAnsi="Arial" w:cs="Arial"/>
                <w:color w:val="000000"/>
              </w:rPr>
              <w:t>62.07533246</w:t>
            </w:r>
          </w:p>
        </w:tc>
        <w:tc>
          <w:tcPr>
            <w:tcW w:w="1560" w:type="dxa"/>
            <w:vAlign w:val="bottom"/>
          </w:tcPr>
          <w:p w:rsidR="000C075A" w:rsidRDefault="000C075A" w:rsidP="00EF4AE9">
            <w:pPr>
              <w:rPr>
                <w:rFonts w:ascii="Arial" w:hAnsi="Arial" w:cs="Arial"/>
                <w:color w:val="000000"/>
              </w:rPr>
            </w:pPr>
            <w:r>
              <w:rPr>
                <w:rFonts w:ascii="Arial" w:hAnsi="Arial" w:cs="Arial"/>
                <w:color w:val="000000"/>
              </w:rPr>
              <w:t>89.96133</w:t>
            </w:r>
          </w:p>
        </w:tc>
        <w:tc>
          <w:tcPr>
            <w:tcW w:w="1701" w:type="dxa"/>
            <w:vAlign w:val="bottom"/>
          </w:tcPr>
          <w:p w:rsidR="000C075A" w:rsidRDefault="000C075A" w:rsidP="00EF4AE9">
            <w:pPr>
              <w:rPr>
                <w:rFonts w:ascii="Arial" w:hAnsi="Arial" w:cs="Arial"/>
                <w:color w:val="000000"/>
              </w:rPr>
            </w:pPr>
            <w:r>
              <w:rPr>
                <w:rFonts w:ascii="Arial" w:hAnsi="Arial" w:cs="Arial"/>
                <w:color w:val="000000"/>
              </w:rPr>
              <w:t>194.775531</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1976</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129.9375317</w:t>
            </w:r>
          </w:p>
        </w:tc>
        <w:tc>
          <w:tcPr>
            <w:tcW w:w="1842" w:type="dxa"/>
            <w:vAlign w:val="bottom"/>
          </w:tcPr>
          <w:p w:rsidR="000C075A" w:rsidRDefault="000C075A" w:rsidP="00EF4AE9">
            <w:pPr>
              <w:rPr>
                <w:rFonts w:ascii="Arial" w:hAnsi="Arial" w:cs="Arial"/>
                <w:color w:val="000000"/>
              </w:rPr>
            </w:pPr>
            <w:r>
              <w:rPr>
                <w:rFonts w:ascii="Arial" w:hAnsi="Arial" w:cs="Arial"/>
                <w:color w:val="000000"/>
              </w:rPr>
              <w:t>63.299039</w:t>
            </w:r>
          </w:p>
        </w:tc>
        <w:tc>
          <w:tcPr>
            <w:tcW w:w="1560" w:type="dxa"/>
            <w:vAlign w:val="bottom"/>
          </w:tcPr>
          <w:p w:rsidR="000C075A" w:rsidRDefault="000C075A" w:rsidP="00EF4AE9">
            <w:pPr>
              <w:rPr>
                <w:rFonts w:ascii="Arial" w:hAnsi="Arial" w:cs="Arial"/>
                <w:color w:val="000000"/>
              </w:rPr>
            </w:pPr>
            <w:r>
              <w:rPr>
                <w:rFonts w:ascii="Arial" w:hAnsi="Arial" w:cs="Arial"/>
                <w:color w:val="000000"/>
              </w:rPr>
              <w:t>85.36476</w:t>
            </w:r>
          </w:p>
        </w:tc>
        <w:tc>
          <w:tcPr>
            <w:tcW w:w="1701" w:type="dxa"/>
            <w:vAlign w:val="bottom"/>
          </w:tcPr>
          <w:p w:rsidR="000C075A" w:rsidRDefault="000C075A" w:rsidP="00EF4AE9">
            <w:pPr>
              <w:rPr>
                <w:rFonts w:ascii="Arial" w:hAnsi="Arial" w:cs="Arial"/>
                <w:color w:val="000000"/>
              </w:rPr>
            </w:pPr>
            <w:r>
              <w:rPr>
                <w:rFonts w:ascii="Arial" w:hAnsi="Arial" w:cs="Arial"/>
                <w:color w:val="000000"/>
              </w:rPr>
              <w:t>175.0284072</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1977</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111.04368</w:t>
            </w:r>
          </w:p>
        </w:tc>
        <w:tc>
          <w:tcPr>
            <w:tcW w:w="1842" w:type="dxa"/>
            <w:vAlign w:val="bottom"/>
          </w:tcPr>
          <w:p w:rsidR="000C075A" w:rsidRDefault="000C075A" w:rsidP="00EF4AE9">
            <w:pPr>
              <w:rPr>
                <w:rFonts w:ascii="Arial" w:hAnsi="Arial" w:cs="Arial"/>
                <w:color w:val="000000"/>
              </w:rPr>
            </w:pPr>
            <w:r>
              <w:rPr>
                <w:rFonts w:ascii="Arial" w:hAnsi="Arial" w:cs="Arial"/>
                <w:color w:val="000000"/>
              </w:rPr>
              <w:t>64.50062408</w:t>
            </w:r>
          </w:p>
        </w:tc>
        <w:tc>
          <w:tcPr>
            <w:tcW w:w="1560" w:type="dxa"/>
            <w:vAlign w:val="bottom"/>
          </w:tcPr>
          <w:p w:rsidR="000C075A" w:rsidRDefault="000C075A" w:rsidP="00EF4AE9">
            <w:pPr>
              <w:rPr>
                <w:rFonts w:ascii="Arial" w:hAnsi="Arial" w:cs="Arial"/>
                <w:color w:val="000000"/>
              </w:rPr>
            </w:pPr>
            <w:r>
              <w:rPr>
                <w:rFonts w:ascii="Arial" w:hAnsi="Arial" w:cs="Arial"/>
                <w:color w:val="000000"/>
              </w:rPr>
              <w:t>77.68448</w:t>
            </w:r>
          </w:p>
        </w:tc>
        <w:tc>
          <w:tcPr>
            <w:tcW w:w="1701" w:type="dxa"/>
            <w:vAlign w:val="bottom"/>
          </w:tcPr>
          <w:p w:rsidR="000C075A" w:rsidRDefault="000C075A" w:rsidP="00EF4AE9">
            <w:pPr>
              <w:rPr>
                <w:rFonts w:ascii="Arial" w:hAnsi="Arial" w:cs="Arial"/>
                <w:color w:val="000000"/>
              </w:rPr>
            </w:pPr>
            <w:r>
              <w:rPr>
                <w:rFonts w:ascii="Arial" w:hAnsi="Arial" w:cs="Arial"/>
                <w:color w:val="000000"/>
              </w:rPr>
              <w:t>143.9524286</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1978</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74.05555193</w:t>
            </w:r>
          </w:p>
        </w:tc>
        <w:tc>
          <w:tcPr>
            <w:tcW w:w="1842" w:type="dxa"/>
            <w:vAlign w:val="bottom"/>
          </w:tcPr>
          <w:p w:rsidR="000C075A" w:rsidRDefault="000C075A" w:rsidP="00EF4AE9">
            <w:pPr>
              <w:rPr>
                <w:rFonts w:ascii="Arial" w:hAnsi="Arial" w:cs="Arial"/>
                <w:color w:val="000000"/>
              </w:rPr>
            </w:pPr>
            <w:r>
              <w:rPr>
                <w:rFonts w:ascii="Arial" w:hAnsi="Arial" w:cs="Arial"/>
                <w:color w:val="000000"/>
              </w:rPr>
              <w:t>40.54187595</w:t>
            </w:r>
          </w:p>
        </w:tc>
        <w:tc>
          <w:tcPr>
            <w:tcW w:w="1560" w:type="dxa"/>
            <w:vAlign w:val="bottom"/>
          </w:tcPr>
          <w:p w:rsidR="000C075A" w:rsidRDefault="000C075A" w:rsidP="00EF4AE9">
            <w:pPr>
              <w:rPr>
                <w:rFonts w:ascii="Arial" w:hAnsi="Arial" w:cs="Arial"/>
                <w:color w:val="000000"/>
              </w:rPr>
            </w:pPr>
            <w:r>
              <w:rPr>
                <w:rFonts w:ascii="Arial" w:hAnsi="Arial" w:cs="Arial"/>
                <w:color w:val="000000"/>
              </w:rPr>
              <w:t>61.49034</w:t>
            </w:r>
          </w:p>
        </w:tc>
        <w:tc>
          <w:tcPr>
            <w:tcW w:w="1701" w:type="dxa"/>
            <w:vAlign w:val="bottom"/>
          </w:tcPr>
          <w:p w:rsidR="000C075A" w:rsidRDefault="000C075A" w:rsidP="00EF4AE9">
            <w:pPr>
              <w:rPr>
                <w:rFonts w:ascii="Arial" w:hAnsi="Arial" w:cs="Arial"/>
                <w:color w:val="000000"/>
              </w:rPr>
            </w:pPr>
            <w:r>
              <w:rPr>
                <w:rFonts w:ascii="Arial" w:hAnsi="Arial" w:cs="Arial"/>
                <w:color w:val="000000"/>
              </w:rPr>
              <w:t>101.307842</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1979</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41.56328057</w:t>
            </w:r>
          </w:p>
        </w:tc>
        <w:tc>
          <w:tcPr>
            <w:tcW w:w="1842" w:type="dxa"/>
            <w:vAlign w:val="bottom"/>
          </w:tcPr>
          <w:p w:rsidR="000C075A" w:rsidRDefault="000C075A" w:rsidP="00EF4AE9">
            <w:pPr>
              <w:rPr>
                <w:rFonts w:ascii="Arial" w:hAnsi="Arial" w:cs="Arial"/>
                <w:color w:val="000000"/>
              </w:rPr>
            </w:pPr>
            <w:r>
              <w:rPr>
                <w:rFonts w:ascii="Arial" w:hAnsi="Arial" w:cs="Arial"/>
                <w:color w:val="000000"/>
              </w:rPr>
              <w:t>20.81206223</w:t>
            </w:r>
          </w:p>
        </w:tc>
        <w:tc>
          <w:tcPr>
            <w:tcW w:w="1560" w:type="dxa"/>
            <w:vAlign w:val="bottom"/>
          </w:tcPr>
          <w:p w:rsidR="000C075A" w:rsidRDefault="000C075A" w:rsidP="00EF4AE9">
            <w:pPr>
              <w:rPr>
                <w:rFonts w:ascii="Arial" w:hAnsi="Arial" w:cs="Arial"/>
                <w:color w:val="000000"/>
              </w:rPr>
            </w:pPr>
            <w:r>
              <w:rPr>
                <w:rFonts w:ascii="Arial" w:hAnsi="Arial" w:cs="Arial"/>
                <w:color w:val="000000"/>
              </w:rPr>
              <w:t>39.61249</w:t>
            </w:r>
          </w:p>
        </w:tc>
        <w:tc>
          <w:tcPr>
            <w:tcW w:w="1701" w:type="dxa"/>
            <w:vAlign w:val="bottom"/>
          </w:tcPr>
          <w:p w:rsidR="000C075A" w:rsidRDefault="000C075A" w:rsidP="00EF4AE9">
            <w:pPr>
              <w:rPr>
                <w:rFonts w:ascii="Arial" w:hAnsi="Arial" w:cs="Arial"/>
                <w:color w:val="000000"/>
              </w:rPr>
            </w:pPr>
            <w:r>
              <w:rPr>
                <w:rFonts w:ascii="Arial" w:hAnsi="Arial" w:cs="Arial"/>
                <w:color w:val="000000"/>
              </w:rPr>
              <w:t>57.21105629</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1980</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61.28604705</w:t>
            </w:r>
          </w:p>
        </w:tc>
        <w:tc>
          <w:tcPr>
            <w:tcW w:w="1842" w:type="dxa"/>
            <w:vAlign w:val="bottom"/>
          </w:tcPr>
          <w:p w:rsidR="000C075A" w:rsidRDefault="000C075A" w:rsidP="00EF4AE9">
            <w:pPr>
              <w:rPr>
                <w:rFonts w:ascii="Arial" w:hAnsi="Arial" w:cs="Arial"/>
                <w:color w:val="000000"/>
              </w:rPr>
            </w:pPr>
            <w:r>
              <w:rPr>
                <w:rFonts w:ascii="Arial" w:hAnsi="Arial" w:cs="Arial"/>
                <w:color w:val="000000"/>
              </w:rPr>
              <w:t>30.68793594</w:t>
            </w:r>
          </w:p>
        </w:tc>
        <w:tc>
          <w:tcPr>
            <w:tcW w:w="1560" w:type="dxa"/>
            <w:vAlign w:val="bottom"/>
          </w:tcPr>
          <w:p w:rsidR="000C075A" w:rsidRDefault="000C075A" w:rsidP="00EF4AE9">
            <w:pPr>
              <w:rPr>
                <w:rFonts w:ascii="Arial" w:hAnsi="Arial" w:cs="Arial"/>
                <w:color w:val="000000"/>
              </w:rPr>
            </w:pPr>
            <w:r>
              <w:rPr>
                <w:rFonts w:ascii="Arial" w:hAnsi="Arial" w:cs="Arial"/>
                <w:color w:val="000000"/>
              </w:rPr>
              <w:t>51.22799</w:t>
            </w:r>
          </w:p>
        </w:tc>
        <w:tc>
          <w:tcPr>
            <w:tcW w:w="1701" w:type="dxa"/>
            <w:vAlign w:val="bottom"/>
          </w:tcPr>
          <w:p w:rsidR="000C075A" w:rsidRDefault="000C075A" w:rsidP="00EF4AE9">
            <w:pPr>
              <w:rPr>
                <w:rFonts w:ascii="Arial" w:hAnsi="Arial" w:cs="Arial"/>
                <w:color w:val="000000"/>
              </w:rPr>
            </w:pPr>
            <w:r>
              <w:rPr>
                <w:rFonts w:ascii="Arial" w:hAnsi="Arial" w:cs="Arial"/>
                <w:color w:val="000000"/>
              </w:rPr>
              <w:t>84.37891213</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1981</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73.41711882</w:t>
            </w:r>
          </w:p>
        </w:tc>
        <w:tc>
          <w:tcPr>
            <w:tcW w:w="1842" w:type="dxa"/>
            <w:vAlign w:val="bottom"/>
          </w:tcPr>
          <w:p w:rsidR="000C075A" w:rsidRDefault="000C075A" w:rsidP="00EF4AE9">
            <w:pPr>
              <w:rPr>
                <w:rFonts w:ascii="Arial" w:hAnsi="Arial" w:cs="Arial"/>
                <w:color w:val="000000"/>
              </w:rPr>
            </w:pPr>
            <w:r>
              <w:rPr>
                <w:rFonts w:ascii="Arial" w:hAnsi="Arial" w:cs="Arial"/>
                <w:color w:val="000000"/>
              </w:rPr>
              <w:t>34.27980602</w:t>
            </w:r>
          </w:p>
        </w:tc>
        <w:tc>
          <w:tcPr>
            <w:tcW w:w="1560" w:type="dxa"/>
            <w:vAlign w:val="bottom"/>
          </w:tcPr>
          <w:p w:rsidR="000C075A" w:rsidRDefault="000C075A" w:rsidP="00EF4AE9">
            <w:pPr>
              <w:rPr>
                <w:rFonts w:ascii="Arial" w:hAnsi="Arial" w:cs="Arial"/>
                <w:color w:val="000000"/>
              </w:rPr>
            </w:pPr>
            <w:r>
              <w:rPr>
                <w:rFonts w:ascii="Arial" w:hAnsi="Arial" w:cs="Arial"/>
                <w:color w:val="000000"/>
              </w:rPr>
              <w:t>40.7047</w:t>
            </w:r>
          </w:p>
        </w:tc>
        <w:tc>
          <w:tcPr>
            <w:tcW w:w="1701" w:type="dxa"/>
            <w:vAlign w:val="bottom"/>
          </w:tcPr>
          <w:p w:rsidR="000C075A" w:rsidRDefault="000C075A" w:rsidP="00EF4AE9">
            <w:pPr>
              <w:rPr>
                <w:rFonts w:ascii="Arial" w:hAnsi="Arial" w:cs="Arial"/>
                <w:color w:val="000000"/>
              </w:rPr>
            </w:pPr>
            <w:r>
              <w:rPr>
                <w:rFonts w:ascii="Arial" w:hAnsi="Arial" w:cs="Arial"/>
                <w:color w:val="000000"/>
              </w:rPr>
              <w:t>109.5890946</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1982</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63.98561365</w:t>
            </w:r>
          </w:p>
        </w:tc>
        <w:tc>
          <w:tcPr>
            <w:tcW w:w="1842" w:type="dxa"/>
            <w:vAlign w:val="bottom"/>
          </w:tcPr>
          <w:p w:rsidR="000C075A" w:rsidRDefault="000C075A" w:rsidP="00EF4AE9">
            <w:pPr>
              <w:rPr>
                <w:rFonts w:ascii="Arial" w:hAnsi="Arial" w:cs="Arial"/>
                <w:color w:val="000000"/>
              </w:rPr>
            </w:pPr>
            <w:r>
              <w:rPr>
                <w:rFonts w:ascii="Arial" w:hAnsi="Arial" w:cs="Arial"/>
                <w:color w:val="000000"/>
              </w:rPr>
              <w:t>32.35761515</w:t>
            </w:r>
          </w:p>
        </w:tc>
        <w:tc>
          <w:tcPr>
            <w:tcW w:w="1560" w:type="dxa"/>
            <w:vAlign w:val="bottom"/>
          </w:tcPr>
          <w:p w:rsidR="000C075A" w:rsidRDefault="000C075A" w:rsidP="00EF4AE9">
            <w:pPr>
              <w:rPr>
                <w:rFonts w:ascii="Arial" w:hAnsi="Arial" w:cs="Arial"/>
                <w:color w:val="000000"/>
              </w:rPr>
            </w:pPr>
            <w:r>
              <w:rPr>
                <w:rFonts w:ascii="Arial" w:hAnsi="Arial" w:cs="Arial"/>
                <w:color w:val="000000"/>
              </w:rPr>
              <w:t>47.28667</w:t>
            </w:r>
          </w:p>
        </w:tc>
        <w:tc>
          <w:tcPr>
            <w:tcW w:w="1701" w:type="dxa"/>
            <w:vAlign w:val="bottom"/>
          </w:tcPr>
          <w:p w:rsidR="000C075A" w:rsidRDefault="000C075A" w:rsidP="00EF4AE9">
            <w:pPr>
              <w:rPr>
                <w:rFonts w:ascii="Arial" w:hAnsi="Arial" w:cs="Arial"/>
                <w:color w:val="000000"/>
              </w:rPr>
            </w:pPr>
            <w:r>
              <w:rPr>
                <w:rFonts w:ascii="Arial" w:hAnsi="Arial" w:cs="Arial"/>
                <w:color w:val="000000"/>
              </w:rPr>
              <w:t>99.59999892</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1983</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77.96381342</w:t>
            </w:r>
          </w:p>
        </w:tc>
        <w:tc>
          <w:tcPr>
            <w:tcW w:w="1842" w:type="dxa"/>
            <w:vAlign w:val="bottom"/>
          </w:tcPr>
          <w:p w:rsidR="000C075A" w:rsidRDefault="000C075A" w:rsidP="00EF4AE9">
            <w:pPr>
              <w:rPr>
                <w:rFonts w:ascii="Arial" w:hAnsi="Arial" w:cs="Arial"/>
                <w:color w:val="000000"/>
              </w:rPr>
            </w:pPr>
            <w:r>
              <w:rPr>
                <w:rFonts w:ascii="Arial" w:hAnsi="Arial" w:cs="Arial"/>
                <w:color w:val="000000"/>
              </w:rPr>
              <w:t>38.98267554</w:t>
            </w:r>
          </w:p>
        </w:tc>
        <w:tc>
          <w:tcPr>
            <w:tcW w:w="1560" w:type="dxa"/>
            <w:vAlign w:val="bottom"/>
          </w:tcPr>
          <w:p w:rsidR="000C075A" w:rsidRDefault="000C075A" w:rsidP="00EF4AE9">
            <w:pPr>
              <w:rPr>
                <w:rFonts w:ascii="Arial" w:hAnsi="Arial" w:cs="Arial"/>
                <w:color w:val="000000"/>
              </w:rPr>
            </w:pPr>
            <w:r>
              <w:rPr>
                <w:rFonts w:ascii="Arial" w:hAnsi="Arial" w:cs="Arial"/>
                <w:color w:val="000000"/>
              </w:rPr>
              <w:t>51.52749</w:t>
            </w:r>
          </w:p>
        </w:tc>
        <w:tc>
          <w:tcPr>
            <w:tcW w:w="1701" w:type="dxa"/>
            <w:vAlign w:val="bottom"/>
          </w:tcPr>
          <w:p w:rsidR="000C075A" w:rsidRDefault="000C075A" w:rsidP="00EF4AE9">
            <w:pPr>
              <w:rPr>
                <w:rFonts w:ascii="Arial" w:hAnsi="Arial" w:cs="Arial"/>
                <w:color w:val="000000"/>
              </w:rPr>
            </w:pPr>
            <w:r>
              <w:rPr>
                <w:rFonts w:ascii="Arial" w:hAnsi="Arial" w:cs="Arial"/>
                <w:color w:val="000000"/>
              </w:rPr>
              <w:t>122.8955665</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1984</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74.09956259</w:t>
            </w:r>
          </w:p>
        </w:tc>
        <w:tc>
          <w:tcPr>
            <w:tcW w:w="1842" w:type="dxa"/>
            <w:vAlign w:val="bottom"/>
          </w:tcPr>
          <w:p w:rsidR="000C075A" w:rsidRDefault="000C075A" w:rsidP="00EF4AE9">
            <w:pPr>
              <w:rPr>
                <w:rFonts w:ascii="Arial" w:hAnsi="Arial" w:cs="Arial"/>
                <w:color w:val="000000"/>
              </w:rPr>
            </w:pPr>
            <w:r>
              <w:rPr>
                <w:rFonts w:ascii="Arial" w:hAnsi="Arial" w:cs="Arial"/>
                <w:color w:val="000000"/>
              </w:rPr>
              <w:t>45.42269298</w:t>
            </w:r>
          </w:p>
        </w:tc>
        <w:tc>
          <w:tcPr>
            <w:tcW w:w="1560" w:type="dxa"/>
            <w:vAlign w:val="bottom"/>
          </w:tcPr>
          <w:p w:rsidR="000C075A" w:rsidRDefault="000C075A" w:rsidP="00EF4AE9">
            <w:pPr>
              <w:rPr>
                <w:rFonts w:ascii="Arial" w:hAnsi="Arial" w:cs="Arial"/>
                <w:color w:val="000000"/>
              </w:rPr>
            </w:pPr>
            <w:r>
              <w:rPr>
                <w:rFonts w:ascii="Arial" w:hAnsi="Arial" w:cs="Arial"/>
                <w:color w:val="000000"/>
              </w:rPr>
              <w:t>60.05705</w:t>
            </w:r>
          </w:p>
        </w:tc>
        <w:tc>
          <w:tcPr>
            <w:tcW w:w="1701" w:type="dxa"/>
            <w:vAlign w:val="bottom"/>
          </w:tcPr>
          <w:p w:rsidR="000C075A" w:rsidRDefault="000C075A" w:rsidP="00EF4AE9">
            <w:pPr>
              <w:rPr>
                <w:rFonts w:ascii="Arial" w:hAnsi="Arial" w:cs="Arial"/>
                <w:color w:val="000000"/>
              </w:rPr>
            </w:pPr>
            <w:r>
              <w:rPr>
                <w:rFonts w:ascii="Arial" w:hAnsi="Arial" w:cs="Arial"/>
                <w:color w:val="000000"/>
              </w:rPr>
              <w:t>144.9375379</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1985</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66.591871</w:t>
            </w:r>
          </w:p>
        </w:tc>
        <w:tc>
          <w:tcPr>
            <w:tcW w:w="1842" w:type="dxa"/>
            <w:vAlign w:val="bottom"/>
          </w:tcPr>
          <w:p w:rsidR="000C075A" w:rsidRDefault="000C075A" w:rsidP="00EF4AE9">
            <w:pPr>
              <w:rPr>
                <w:rFonts w:ascii="Arial" w:hAnsi="Arial" w:cs="Arial"/>
                <w:color w:val="000000"/>
              </w:rPr>
            </w:pPr>
            <w:r>
              <w:rPr>
                <w:rFonts w:ascii="Arial" w:hAnsi="Arial" w:cs="Arial"/>
                <w:color w:val="000000"/>
              </w:rPr>
              <w:t>56.19903966</w:t>
            </w:r>
          </w:p>
        </w:tc>
        <w:tc>
          <w:tcPr>
            <w:tcW w:w="1560" w:type="dxa"/>
            <w:vAlign w:val="bottom"/>
          </w:tcPr>
          <w:p w:rsidR="000C075A" w:rsidRDefault="000C075A" w:rsidP="00EF4AE9">
            <w:pPr>
              <w:rPr>
                <w:rFonts w:ascii="Arial" w:hAnsi="Arial" w:cs="Arial"/>
                <w:color w:val="000000"/>
              </w:rPr>
            </w:pPr>
            <w:r>
              <w:rPr>
                <w:rFonts w:ascii="Arial" w:hAnsi="Arial" w:cs="Arial"/>
                <w:color w:val="000000"/>
              </w:rPr>
              <w:t>61.10457</w:t>
            </w:r>
          </w:p>
        </w:tc>
        <w:tc>
          <w:tcPr>
            <w:tcW w:w="1701" w:type="dxa"/>
            <w:vAlign w:val="bottom"/>
          </w:tcPr>
          <w:p w:rsidR="000C075A" w:rsidRDefault="000C075A" w:rsidP="00EF4AE9">
            <w:pPr>
              <w:rPr>
                <w:rFonts w:ascii="Arial" w:hAnsi="Arial" w:cs="Arial"/>
                <w:color w:val="000000"/>
              </w:rPr>
            </w:pPr>
            <w:r>
              <w:rPr>
                <w:rFonts w:ascii="Arial" w:hAnsi="Arial" w:cs="Arial"/>
                <w:color w:val="000000"/>
              </w:rPr>
              <w:t>126.8236399</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1986</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62.73778669</w:t>
            </w:r>
          </w:p>
        </w:tc>
        <w:tc>
          <w:tcPr>
            <w:tcW w:w="1842" w:type="dxa"/>
            <w:vAlign w:val="bottom"/>
          </w:tcPr>
          <w:p w:rsidR="000C075A" w:rsidRDefault="000C075A" w:rsidP="00EF4AE9">
            <w:pPr>
              <w:rPr>
                <w:rFonts w:ascii="Arial" w:hAnsi="Arial" w:cs="Arial"/>
                <w:color w:val="000000"/>
              </w:rPr>
            </w:pPr>
            <w:r>
              <w:rPr>
                <w:rFonts w:ascii="Arial" w:hAnsi="Arial" w:cs="Arial"/>
                <w:color w:val="000000"/>
              </w:rPr>
              <w:t>53.29804174</w:t>
            </w:r>
          </w:p>
        </w:tc>
        <w:tc>
          <w:tcPr>
            <w:tcW w:w="1560" w:type="dxa"/>
            <w:vAlign w:val="bottom"/>
          </w:tcPr>
          <w:p w:rsidR="000C075A" w:rsidRDefault="000C075A" w:rsidP="00EF4AE9">
            <w:pPr>
              <w:rPr>
                <w:rFonts w:ascii="Arial" w:hAnsi="Arial" w:cs="Arial"/>
                <w:color w:val="000000"/>
              </w:rPr>
            </w:pPr>
            <w:r>
              <w:rPr>
                <w:rFonts w:ascii="Arial" w:hAnsi="Arial" w:cs="Arial"/>
                <w:color w:val="000000"/>
              </w:rPr>
              <w:t>58.42184</w:t>
            </w:r>
          </w:p>
        </w:tc>
        <w:tc>
          <w:tcPr>
            <w:tcW w:w="1701" w:type="dxa"/>
            <w:vAlign w:val="bottom"/>
          </w:tcPr>
          <w:p w:rsidR="000C075A" w:rsidRDefault="000C075A" w:rsidP="00EF4AE9">
            <w:pPr>
              <w:rPr>
                <w:rFonts w:ascii="Arial" w:hAnsi="Arial" w:cs="Arial"/>
                <w:color w:val="000000"/>
              </w:rPr>
            </w:pPr>
            <w:r>
              <w:rPr>
                <w:rFonts w:ascii="Arial" w:hAnsi="Arial" w:cs="Arial"/>
                <w:color w:val="000000"/>
              </w:rPr>
              <w:t>108.5172248</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1987</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76.65273568</w:t>
            </w:r>
          </w:p>
        </w:tc>
        <w:tc>
          <w:tcPr>
            <w:tcW w:w="1842" w:type="dxa"/>
            <w:vAlign w:val="bottom"/>
          </w:tcPr>
          <w:p w:rsidR="000C075A" w:rsidRDefault="000C075A" w:rsidP="00EF4AE9">
            <w:pPr>
              <w:rPr>
                <w:rFonts w:ascii="Arial" w:hAnsi="Arial" w:cs="Arial"/>
                <w:color w:val="000000"/>
              </w:rPr>
            </w:pPr>
            <w:r>
              <w:rPr>
                <w:rFonts w:ascii="Arial" w:hAnsi="Arial" w:cs="Arial"/>
                <w:color w:val="000000"/>
              </w:rPr>
              <w:t>62.08978115</w:t>
            </w:r>
          </w:p>
        </w:tc>
        <w:tc>
          <w:tcPr>
            <w:tcW w:w="1560" w:type="dxa"/>
            <w:vAlign w:val="bottom"/>
          </w:tcPr>
          <w:p w:rsidR="000C075A" w:rsidRDefault="000C075A" w:rsidP="00EF4AE9">
            <w:pPr>
              <w:rPr>
                <w:rFonts w:ascii="Arial" w:hAnsi="Arial" w:cs="Arial"/>
                <w:color w:val="000000"/>
              </w:rPr>
            </w:pPr>
            <w:r>
              <w:rPr>
                <w:rFonts w:ascii="Arial" w:hAnsi="Arial" w:cs="Arial"/>
                <w:color w:val="000000"/>
              </w:rPr>
              <w:t>68.2359</w:t>
            </w:r>
          </w:p>
        </w:tc>
        <w:tc>
          <w:tcPr>
            <w:tcW w:w="1701" w:type="dxa"/>
            <w:vAlign w:val="bottom"/>
          </w:tcPr>
          <w:p w:rsidR="000C075A" w:rsidRDefault="000C075A" w:rsidP="00EF4AE9">
            <w:pPr>
              <w:rPr>
                <w:rFonts w:ascii="Arial" w:hAnsi="Arial" w:cs="Arial"/>
                <w:color w:val="000000"/>
              </w:rPr>
            </w:pPr>
            <w:r>
              <w:rPr>
                <w:rFonts w:ascii="Arial" w:hAnsi="Arial" w:cs="Arial"/>
                <w:color w:val="000000"/>
              </w:rPr>
              <w:t>115.5929049</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1988</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95.47790831</w:t>
            </w:r>
          </w:p>
        </w:tc>
        <w:tc>
          <w:tcPr>
            <w:tcW w:w="1842" w:type="dxa"/>
            <w:vAlign w:val="bottom"/>
          </w:tcPr>
          <w:p w:rsidR="000C075A" w:rsidRDefault="000C075A" w:rsidP="00EF4AE9">
            <w:pPr>
              <w:rPr>
                <w:rFonts w:ascii="Arial" w:hAnsi="Arial" w:cs="Arial"/>
                <w:color w:val="000000"/>
              </w:rPr>
            </w:pPr>
            <w:r>
              <w:rPr>
                <w:rFonts w:ascii="Arial" w:hAnsi="Arial" w:cs="Arial"/>
                <w:color w:val="000000"/>
              </w:rPr>
              <w:t>66.87779979</w:t>
            </w:r>
          </w:p>
        </w:tc>
        <w:tc>
          <w:tcPr>
            <w:tcW w:w="1560" w:type="dxa"/>
            <w:vAlign w:val="bottom"/>
          </w:tcPr>
          <w:p w:rsidR="000C075A" w:rsidRDefault="000C075A" w:rsidP="00EF4AE9">
            <w:pPr>
              <w:rPr>
                <w:rFonts w:ascii="Arial" w:hAnsi="Arial" w:cs="Arial"/>
                <w:color w:val="000000"/>
              </w:rPr>
            </w:pPr>
            <w:r>
              <w:rPr>
                <w:rFonts w:ascii="Arial" w:hAnsi="Arial" w:cs="Arial"/>
                <w:color w:val="000000"/>
              </w:rPr>
              <w:t>77.58992</w:t>
            </w:r>
          </w:p>
        </w:tc>
        <w:tc>
          <w:tcPr>
            <w:tcW w:w="1701" w:type="dxa"/>
            <w:vAlign w:val="bottom"/>
          </w:tcPr>
          <w:p w:rsidR="000C075A" w:rsidRDefault="000C075A" w:rsidP="00EF4AE9">
            <w:pPr>
              <w:rPr>
                <w:rFonts w:ascii="Arial" w:hAnsi="Arial" w:cs="Arial"/>
                <w:color w:val="000000"/>
              </w:rPr>
            </w:pPr>
            <w:r>
              <w:rPr>
                <w:rFonts w:ascii="Arial" w:hAnsi="Arial" w:cs="Arial"/>
                <w:color w:val="000000"/>
              </w:rPr>
              <w:t>138.9711271</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1989</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100.8682032</w:t>
            </w:r>
          </w:p>
        </w:tc>
        <w:tc>
          <w:tcPr>
            <w:tcW w:w="1842" w:type="dxa"/>
            <w:vAlign w:val="bottom"/>
          </w:tcPr>
          <w:p w:rsidR="000C075A" w:rsidRDefault="000C075A" w:rsidP="00EF4AE9">
            <w:pPr>
              <w:rPr>
                <w:rFonts w:ascii="Arial" w:hAnsi="Arial" w:cs="Arial"/>
                <w:color w:val="000000"/>
              </w:rPr>
            </w:pPr>
            <w:r>
              <w:rPr>
                <w:rFonts w:ascii="Arial" w:hAnsi="Arial" w:cs="Arial"/>
                <w:color w:val="000000"/>
              </w:rPr>
              <w:t>65.35869476</w:t>
            </w:r>
          </w:p>
        </w:tc>
        <w:tc>
          <w:tcPr>
            <w:tcW w:w="1560" w:type="dxa"/>
            <w:vAlign w:val="bottom"/>
          </w:tcPr>
          <w:p w:rsidR="000C075A" w:rsidRDefault="000C075A" w:rsidP="00EF4AE9">
            <w:pPr>
              <w:rPr>
                <w:rFonts w:ascii="Arial" w:hAnsi="Arial" w:cs="Arial"/>
                <w:color w:val="000000"/>
              </w:rPr>
            </w:pPr>
            <w:r>
              <w:rPr>
                <w:rFonts w:ascii="Arial" w:hAnsi="Arial" w:cs="Arial"/>
                <w:color w:val="000000"/>
              </w:rPr>
              <w:t>91.5646</w:t>
            </w:r>
          </w:p>
        </w:tc>
        <w:tc>
          <w:tcPr>
            <w:tcW w:w="1701" w:type="dxa"/>
            <w:vAlign w:val="bottom"/>
          </w:tcPr>
          <w:p w:rsidR="000C075A" w:rsidRDefault="000C075A" w:rsidP="00EF4AE9">
            <w:pPr>
              <w:rPr>
                <w:rFonts w:ascii="Arial" w:hAnsi="Arial" w:cs="Arial"/>
                <w:color w:val="000000"/>
              </w:rPr>
            </w:pPr>
            <w:r>
              <w:rPr>
                <w:rFonts w:ascii="Arial" w:hAnsi="Arial" w:cs="Arial"/>
                <w:color w:val="000000"/>
              </w:rPr>
              <w:t>145.5213668</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1990</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111.5390685</w:t>
            </w:r>
          </w:p>
        </w:tc>
        <w:tc>
          <w:tcPr>
            <w:tcW w:w="1842" w:type="dxa"/>
            <w:vAlign w:val="bottom"/>
          </w:tcPr>
          <w:p w:rsidR="000C075A" w:rsidRDefault="000C075A" w:rsidP="00EF4AE9">
            <w:pPr>
              <w:rPr>
                <w:rFonts w:ascii="Arial" w:hAnsi="Arial" w:cs="Arial"/>
                <w:color w:val="000000"/>
              </w:rPr>
            </w:pPr>
            <w:r>
              <w:rPr>
                <w:rFonts w:ascii="Arial" w:hAnsi="Arial" w:cs="Arial"/>
                <w:color w:val="000000"/>
              </w:rPr>
              <w:t>77.50837793</w:t>
            </w:r>
          </w:p>
        </w:tc>
        <w:tc>
          <w:tcPr>
            <w:tcW w:w="1560" w:type="dxa"/>
            <w:vAlign w:val="bottom"/>
          </w:tcPr>
          <w:p w:rsidR="000C075A" w:rsidRDefault="000C075A" w:rsidP="00EF4AE9">
            <w:pPr>
              <w:rPr>
                <w:rFonts w:ascii="Arial" w:hAnsi="Arial" w:cs="Arial"/>
                <w:color w:val="000000"/>
              </w:rPr>
            </w:pPr>
            <w:r>
              <w:rPr>
                <w:rFonts w:ascii="Arial" w:hAnsi="Arial" w:cs="Arial"/>
                <w:color w:val="000000"/>
              </w:rPr>
              <w:t>101.9724</w:t>
            </w:r>
          </w:p>
        </w:tc>
        <w:tc>
          <w:tcPr>
            <w:tcW w:w="1701" w:type="dxa"/>
            <w:vAlign w:val="bottom"/>
          </w:tcPr>
          <w:p w:rsidR="000C075A" w:rsidRDefault="000C075A" w:rsidP="00EF4AE9">
            <w:pPr>
              <w:rPr>
                <w:rFonts w:ascii="Arial" w:hAnsi="Arial" w:cs="Arial"/>
                <w:color w:val="000000"/>
              </w:rPr>
            </w:pPr>
            <w:r>
              <w:rPr>
                <w:rFonts w:ascii="Arial" w:hAnsi="Arial" w:cs="Arial"/>
                <w:color w:val="000000"/>
              </w:rPr>
              <w:t>160.6069961</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1991</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112.940561</w:t>
            </w:r>
          </w:p>
        </w:tc>
        <w:tc>
          <w:tcPr>
            <w:tcW w:w="1842" w:type="dxa"/>
            <w:vAlign w:val="bottom"/>
          </w:tcPr>
          <w:p w:rsidR="000C075A" w:rsidRDefault="000C075A" w:rsidP="00EF4AE9">
            <w:pPr>
              <w:rPr>
                <w:rFonts w:ascii="Arial" w:hAnsi="Arial" w:cs="Arial"/>
                <w:color w:val="000000"/>
              </w:rPr>
            </w:pPr>
            <w:r>
              <w:rPr>
                <w:rFonts w:ascii="Arial" w:hAnsi="Arial" w:cs="Arial"/>
                <w:color w:val="000000"/>
              </w:rPr>
              <w:t>88.16071425</w:t>
            </w:r>
          </w:p>
        </w:tc>
        <w:tc>
          <w:tcPr>
            <w:tcW w:w="1560" w:type="dxa"/>
            <w:vAlign w:val="bottom"/>
          </w:tcPr>
          <w:p w:rsidR="000C075A" w:rsidRDefault="000C075A" w:rsidP="00EF4AE9">
            <w:pPr>
              <w:rPr>
                <w:rFonts w:ascii="Arial" w:hAnsi="Arial" w:cs="Arial"/>
                <w:color w:val="000000"/>
              </w:rPr>
            </w:pPr>
            <w:r>
              <w:rPr>
                <w:rFonts w:ascii="Arial" w:hAnsi="Arial" w:cs="Arial"/>
                <w:color w:val="000000"/>
              </w:rPr>
              <w:t>110.8762</w:t>
            </w:r>
          </w:p>
        </w:tc>
        <w:tc>
          <w:tcPr>
            <w:tcW w:w="1701" w:type="dxa"/>
            <w:vAlign w:val="bottom"/>
          </w:tcPr>
          <w:p w:rsidR="000C075A" w:rsidRDefault="000C075A" w:rsidP="00EF4AE9">
            <w:pPr>
              <w:rPr>
                <w:rFonts w:ascii="Arial" w:hAnsi="Arial" w:cs="Arial"/>
                <w:color w:val="000000"/>
              </w:rPr>
            </w:pPr>
            <w:r>
              <w:rPr>
                <w:rFonts w:ascii="Arial" w:hAnsi="Arial" w:cs="Arial"/>
                <w:color w:val="000000"/>
              </w:rPr>
              <w:t>174.2426251</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1992</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100.8155581</w:t>
            </w:r>
          </w:p>
        </w:tc>
        <w:tc>
          <w:tcPr>
            <w:tcW w:w="1842" w:type="dxa"/>
            <w:vAlign w:val="bottom"/>
          </w:tcPr>
          <w:p w:rsidR="000C075A" w:rsidRDefault="000C075A" w:rsidP="00EF4AE9">
            <w:pPr>
              <w:rPr>
                <w:rFonts w:ascii="Arial" w:hAnsi="Arial" w:cs="Arial"/>
                <w:color w:val="000000"/>
              </w:rPr>
            </w:pPr>
            <w:r>
              <w:rPr>
                <w:rFonts w:ascii="Arial" w:hAnsi="Arial" w:cs="Arial"/>
                <w:color w:val="000000"/>
              </w:rPr>
              <w:t>97.18128012</w:t>
            </w:r>
          </w:p>
        </w:tc>
        <w:tc>
          <w:tcPr>
            <w:tcW w:w="1560" w:type="dxa"/>
            <w:vAlign w:val="bottom"/>
          </w:tcPr>
          <w:p w:rsidR="000C075A" w:rsidRDefault="000C075A" w:rsidP="00EF4AE9">
            <w:pPr>
              <w:rPr>
                <w:rFonts w:ascii="Arial" w:hAnsi="Arial" w:cs="Arial"/>
                <w:color w:val="000000"/>
              </w:rPr>
            </w:pPr>
            <w:r>
              <w:rPr>
                <w:rFonts w:ascii="Arial" w:hAnsi="Arial" w:cs="Arial"/>
                <w:color w:val="000000"/>
              </w:rPr>
              <w:t>91.98884</w:t>
            </w:r>
          </w:p>
        </w:tc>
        <w:tc>
          <w:tcPr>
            <w:tcW w:w="1701" w:type="dxa"/>
            <w:vAlign w:val="bottom"/>
          </w:tcPr>
          <w:p w:rsidR="000C075A" w:rsidRDefault="000C075A" w:rsidP="00EF4AE9">
            <w:pPr>
              <w:rPr>
                <w:rFonts w:ascii="Arial" w:hAnsi="Arial" w:cs="Arial"/>
                <w:color w:val="000000"/>
              </w:rPr>
            </w:pPr>
            <w:r>
              <w:rPr>
                <w:rFonts w:ascii="Arial" w:hAnsi="Arial" w:cs="Arial"/>
                <w:color w:val="000000"/>
              </w:rPr>
              <w:t>171.5026248</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1993</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103.1662542</w:t>
            </w:r>
          </w:p>
        </w:tc>
        <w:tc>
          <w:tcPr>
            <w:tcW w:w="1842" w:type="dxa"/>
            <w:vAlign w:val="bottom"/>
          </w:tcPr>
          <w:p w:rsidR="000C075A" w:rsidRDefault="000C075A" w:rsidP="00EF4AE9">
            <w:pPr>
              <w:rPr>
                <w:rFonts w:ascii="Arial" w:hAnsi="Arial" w:cs="Arial"/>
                <w:color w:val="000000"/>
              </w:rPr>
            </w:pPr>
            <w:r>
              <w:rPr>
                <w:rFonts w:ascii="Arial" w:hAnsi="Arial" w:cs="Arial"/>
                <w:color w:val="000000"/>
              </w:rPr>
              <w:t>100.3998626</w:t>
            </w:r>
          </w:p>
        </w:tc>
        <w:tc>
          <w:tcPr>
            <w:tcW w:w="1560" w:type="dxa"/>
            <w:vAlign w:val="bottom"/>
          </w:tcPr>
          <w:p w:rsidR="000C075A" w:rsidRDefault="000C075A" w:rsidP="00EF4AE9">
            <w:pPr>
              <w:rPr>
                <w:rFonts w:ascii="Arial" w:hAnsi="Arial" w:cs="Arial"/>
                <w:color w:val="000000"/>
              </w:rPr>
            </w:pPr>
            <w:r>
              <w:rPr>
                <w:rFonts w:ascii="Arial" w:hAnsi="Arial" w:cs="Arial"/>
                <w:color w:val="000000"/>
              </w:rPr>
              <w:t>90.06553</w:t>
            </w:r>
          </w:p>
        </w:tc>
        <w:tc>
          <w:tcPr>
            <w:tcW w:w="1701" w:type="dxa"/>
            <w:vAlign w:val="bottom"/>
          </w:tcPr>
          <w:p w:rsidR="000C075A" w:rsidRDefault="000C075A" w:rsidP="00EF4AE9">
            <w:pPr>
              <w:rPr>
                <w:rFonts w:ascii="Arial" w:hAnsi="Arial" w:cs="Arial"/>
                <w:color w:val="000000"/>
              </w:rPr>
            </w:pPr>
            <w:r>
              <w:rPr>
                <w:rFonts w:ascii="Arial" w:hAnsi="Arial" w:cs="Arial"/>
                <w:color w:val="000000"/>
              </w:rPr>
              <w:t>164.7953107</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1994</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108.7105628</w:t>
            </w:r>
          </w:p>
        </w:tc>
        <w:tc>
          <w:tcPr>
            <w:tcW w:w="1842" w:type="dxa"/>
            <w:vAlign w:val="bottom"/>
          </w:tcPr>
          <w:p w:rsidR="000C075A" w:rsidRDefault="000C075A" w:rsidP="00EF4AE9">
            <w:pPr>
              <w:rPr>
                <w:rFonts w:ascii="Arial" w:hAnsi="Arial" w:cs="Arial"/>
                <w:color w:val="000000"/>
              </w:rPr>
            </w:pPr>
            <w:r>
              <w:rPr>
                <w:rFonts w:ascii="Arial" w:hAnsi="Arial" w:cs="Arial"/>
                <w:color w:val="000000"/>
              </w:rPr>
              <w:t>109.6333218</w:t>
            </w:r>
          </w:p>
        </w:tc>
        <w:tc>
          <w:tcPr>
            <w:tcW w:w="1560" w:type="dxa"/>
            <w:vAlign w:val="bottom"/>
          </w:tcPr>
          <w:p w:rsidR="000C075A" w:rsidRDefault="000C075A" w:rsidP="00EF4AE9">
            <w:pPr>
              <w:rPr>
                <w:rFonts w:ascii="Arial" w:hAnsi="Arial" w:cs="Arial"/>
                <w:color w:val="000000"/>
              </w:rPr>
            </w:pPr>
            <w:r>
              <w:rPr>
                <w:rFonts w:ascii="Arial" w:hAnsi="Arial" w:cs="Arial"/>
                <w:color w:val="000000"/>
              </w:rPr>
              <w:t>96.14498</w:t>
            </w:r>
          </w:p>
        </w:tc>
        <w:tc>
          <w:tcPr>
            <w:tcW w:w="1701" w:type="dxa"/>
            <w:vAlign w:val="bottom"/>
          </w:tcPr>
          <w:p w:rsidR="000C075A" w:rsidRDefault="000C075A" w:rsidP="00EF4AE9">
            <w:pPr>
              <w:rPr>
                <w:rFonts w:ascii="Arial" w:hAnsi="Arial" w:cs="Arial"/>
                <w:color w:val="000000"/>
              </w:rPr>
            </w:pPr>
            <w:r>
              <w:rPr>
                <w:rFonts w:ascii="Arial" w:hAnsi="Arial" w:cs="Arial"/>
                <w:color w:val="000000"/>
              </w:rPr>
              <w:t>169.5583504</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1995</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111.3657889</w:t>
            </w:r>
          </w:p>
        </w:tc>
        <w:tc>
          <w:tcPr>
            <w:tcW w:w="1842" w:type="dxa"/>
            <w:vAlign w:val="bottom"/>
          </w:tcPr>
          <w:p w:rsidR="000C075A" w:rsidRDefault="000C075A" w:rsidP="00EF4AE9">
            <w:pPr>
              <w:rPr>
                <w:rFonts w:ascii="Arial" w:hAnsi="Arial" w:cs="Arial"/>
                <w:color w:val="000000"/>
              </w:rPr>
            </w:pPr>
            <w:r>
              <w:rPr>
                <w:rFonts w:ascii="Arial" w:hAnsi="Arial" w:cs="Arial"/>
                <w:color w:val="000000"/>
              </w:rPr>
              <w:t>93.37440849</w:t>
            </w:r>
          </w:p>
        </w:tc>
        <w:tc>
          <w:tcPr>
            <w:tcW w:w="1560" w:type="dxa"/>
            <w:vAlign w:val="bottom"/>
          </w:tcPr>
          <w:p w:rsidR="000C075A" w:rsidRDefault="000C075A" w:rsidP="00EF4AE9">
            <w:pPr>
              <w:rPr>
                <w:rFonts w:ascii="Arial" w:hAnsi="Arial" w:cs="Arial"/>
                <w:color w:val="000000"/>
              </w:rPr>
            </w:pPr>
            <w:r>
              <w:rPr>
                <w:rFonts w:ascii="Arial" w:hAnsi="Arial" w:cs="Arial"/>
                <w:color w:val="000000"/>
              </w:rPr>
              <w:t>96.33707</w:t>
            </w:r>
          </w:p>
        </w:tc>
        <w:tc>
          <w:tcPr>
            <w:tcW w:w="1701" w:type="dxa"/>
            <w:vAlign w:val="bottom"/>
          </w:tcPr>
          <w:p w:rsidR="000C075A" w:rsidRDefault="000C075A" w:rsidP="00EF4AE9">
            <w:pPr>
              <w:rPr>
                <w:rFonts w:ascii="Arial" w:hAnsi="Arial" w:cs="Arial"/>
                <w:color w:val="000000"/>
              </w:rPr>
            </w:pPr>
            <w:r>
              <w:rPr>
                <w:rFonts w:ascii="Arial" w:hAnsi="Arial" w:cs="Arial"/>
                <w:color w:val="000000"/>
              </w:rPr>
              <w:t>172.7554712</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1996</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133.0100606</w:t>
            </w:r>
          </w:p>
        </w:tc>
        <w:tc>
          <w:tcPr>
            <w:tcW w:w="1842" w:type="dxa"/>
            <w:vAlign w:val="bottom"/>
          </w:tcPr>
          <w:p w:rsidR="000C075A" w:rsidRDefault="000C075A" w:rsidP="00EF4AE9">
            <w:pPr>
              <w:rPr>
                <w:rFonts w:ascii="Arial" w:hAnsi="Arial" w:cs="Arial"/>
                <w:color w:val="000000"/>
              </w:rPr>
            </w:pPr>
            <w:r>
              <w:rPr>
                <w:rFonts w:ascii="Arial" w:hAnsi="Arial" w:cs="Arial"/>
                <w:color w:val="000000"/>
              </w:rPr>
              <w:t>98.87888463</w:t>
            </w:r>
          </w:p>
        </w:tc>
        <w:tc>
          <w:tcPr>
            <w:tcW w:w="1560" w:type="dxa"/>
            <w:vAlign w:val="bottom"/>
          </w:tcPr>
          <w:p w:rsidR="000C075A" w:rsidRDefault="000C075A" w:rsidP="00EF4AE9">
            <w:pPr>
              <w:rPr>
                <w:rFonts w:ascii="Arial" w:hAnsi="Arial" w:cs="Arial"/>
                <w:color w:val="000000"/>
              </w:rPr>
            </w:pPr>
            <w:r>
              <w:rPr>
                <w:rFonts w:ascii="Arial" w:hAnsi="Arial" w:cs="Arial"/>
                <w:color w:val="000000"/>
              </w:rPr>
              <w:t>122.1457</w:t>
            </w:r>
          </w:p>
        </w:tc>
        <w:tc>
          <w:tcPr>
            <w:tcW w:w="1701" w:type="dxa"/>
            <w:vAlign w:val="bottom"/>
          </w:tcPr>
          <w:p w:rsidR="000C075A" w:rsidRDefault="000C075A" w:rsidP="00EF4AE9">
            <w:pPr>
              <w:rPr>
                <w:rFonts w:ascii="Arial" w:hAnsi="Arial" w:cs="Arial"/>
                <w:color w:val="000000"/>
              </w:rPr>
            </w:pPr>
            <w:r>
              <w:rPr>
                <w:rFonts w:ascii="Arial" w:hAnsi="Arial" w:cs="Arial"/>
                <w:color w:val="000000"/>
              </w:rPr>
              <w:t>207.0373369</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1997</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126.3022499</w:t>
            </w:r>
          </w:p>
        </w:tc>
        <w:tc>
          <w:tcPr>
            <w:tcW w:w="1842" w:type="dxa"/>
            <w:vAlign w:val="bottom"/>
          </w:tcPr>
          <w:p w:rsidR="000C075A" w:rsidRDefault="000C075A" w:rsidP="00EF4AE9">
            <w:pPr>
              <w:rPr>
                <w:rFonts w:ascii="Arial" w:hAnsi="Arial" w:cs="Arial"/>
                <w:color w:val="000000"/>
              </w:rPr>
            </w:pPr>
            <w:r>
              <w:rPr>
                <w:rFonts w:ascii="Arial" w:hAnsi="Arial" w:cs="Arial"/>
                <w:color w:val="000000"/>
              </w:rPr>
              <w:t>104.9075801</w:t>
            </w:r>
          </w:p>
        </w:tc>
        <w:tc>
          <w:tcPr>
            <w:tcW w:w="1560" w:type="dxa"/>
            <w:vAlign w:val="bottom"/>
          </w:tcPr>
          <w:p w:rsidR="000C075A" w:rsidRDefault="000C075A" w:rsidP="00EF4AE9">
            <w:pPr>
              <w:rPr>
                <w:rFonts w:ascii="Arial" w:hAnsi="Arial" w:cs="Arial"/>
                <w:color w:val="000000"/>
              </w:rPr>
            </w:pPr>
            <w:r>
              <w:rPr>
                <w:rFonts w:ascii="Arial" w:hAnsi="Arial" w:cs="Arial"/>
                <w:color w:val="000000"/>
              </w:rPr>
              <w:t>143.7772</w:t>
            </w:r>
          </w:p>
        </w:tc>
        <w:tc>
          <w:tcPr>
            <w:tcW w:w="1701" w:type="dxa"/>
            <w:vAlign w:val="bottom"/>
          </w:tcPr>
          <w:p w:rsidR="000C075A" w:rsidRDefault="000C075A" w:rsidP="00EF4AE9">
            <w:pPr>
              <w:rPr>
                <w:rFonts w:ascii="Arial" w:hAnsi="Arial" w:cs="Arial"/>
                <w:color w:val="000000"/>
              </w:rPr>
            </w:pPr>
            <w:r>
              <w:rPr>
                <w:rFonts w:ascii="Arial" w:hAnsi="Arial" w:cs="Arial"/>
                <w:color w:val="000000"/>
              </w:rPr>
              <w:t>236.5449947</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1998</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138.266</w:t>
            </w:r>
          </w:p>
        </w:tc>
        <w:tc>
          <w:tcPr>
            <w:tcW w:w="1842" w:type="dxa"/>
            <w:vAlign w:val="bottom"/>
          </w:tcPr>
          <w:p w:rsidR="000C075A" w:rsidRDefault="000C075A" w:rsidP="00EF4AE9">
            <w:pPr>
              <w:rPr>
                <w:rFonts w:ascii="Arial" w:hAnsi="Arial" w:cs="Arial"/>
                <w:color w:val="000000"/>
              </w:rPr>
            </w:pPr>
            <w:r>
              <w:rPr>
                <w:rFonts w:ascii="Arial" w:hAnsi="Arial" w:cs="Arial"/>
                <w:color w:val="000000"/>
              </w:rPr>
              <w:t>127.5370059</w:t>
            </w:r>
          </w:p>
        </w:tc>
        <w:tc>
          <w:tcPr>
            <w:tcW w:w="1560" w:type="dxa"/>
            <w:vAlign w:val="bottom"/>
          </w:tcPr>
          <w:p w:rsidR="000C075A" w:rsidRDefault="000C075A" w:rsidP="00EF4AE9">
            <w:pPr>
              <w:rPr>
                <w:rFonts w:ascii="Arial" w:hAnsi="Arial" w:cs="Arial"/>
                <w:color w:val="000000"/>
              </w:rPr>
            </w:pPr>
            <w:r>
              <w:rPr>
                <w:rFonts w:ascii="Arial" w:hAnsi="Arial" w:cs="Arial"/>
                <w:color w:val="000000"/>
              </w:rPr>
              <w:t>150.4449</w:t>
            </w:r>
          </w:p>
        </w:tc>
        <w:tc>
          <w:tcPr>
            <w:tcW w:w="1701" w:type="dxa"/>
            <w:vAlign w:val="bottom"/>
          </w:tcPr>
          <w:p w:rsidR="000C075A" w:rsidRDefault="000C075A" w:rsidP="00EF4AE9">
            <w:pPr>
              <w:rPr>
                <w:rFonts w:ascii="Arial" w:hAnsi="Arial" w:cs="Arial"/>
                <w:color w:val="000000"/>
              </w:rPr>
            </w:pPr>
            <w:r>
              <w:rPr>
                <w:rFonts w:ascii="Arial" w:hAnsi="Arial" w:cs="Arial"/>
                <w:color w:val="000000"/>
              </w:rPr>
              <w:t>254.9939036</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1999</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128.2939947</w:t>
            </w:r>
          </w:p>
        </w:tc>
        <w:tc>
          <w:tcPr>
            <w:tcW w:w="1842" w:type="dxa"/>
            <w:vAlign w:val="bottom"/>
          </w:tcPr>
          <w:p w:rsidR="000C075A" w:rsidRDefault="000C075A" w:rsidP="00EF4AE9">
            <w:pPr>
              <w:rPr>
                <w:rFonts w:ascii="Arial" w:hAnsi="Arial" w:cs="Arial"/>
                <w:color w:val="000000"/>
              </w:rPr>
            </w:pPr>
            <w:r>
              <w:rPr>
                <w:rFonts w:ascii="Arial" w:hAnsi="Arial" w:cs="Arial"/>
                <w:color w:val="000000"/>
              </w:rPr>
              <w:t>133.5307653</w:t>
            </w:r>
          </w:p>
        </w:tc>
        <w:tc>
          <w:tcPr>
            <w:tcW w:w="1560" w:type="dxa"/>
            <w:vAlign w:val="bottom"/>
          </w:tcPr>
          <w:p w:rsidR="000C075A" w:rsidRDefault="000C075A" w:rsidP="00EF4AE9">
            <w:pPr>
              <w:rPr>
                <w:rFonts w:ascii="Arial" w:hAnsi="Arial" w:cs="Arial"/>
                <w:color w:val="000000"/>
              </w:rPr>
            </w:pPr>
            <w:r>
              <w:rPr>
                <w:rFonts w:ascii="Arial" w:hAnsi="Arial" w:cs="Arial"/>
                <w:color w:val="000000"/>
              </w:rPr>
              <w:t>144.9703</w:t>
            </w:r>
          </w:p>
        </w:tc>
        <w:tc>
          <w:tcPr>
            <w:tcW w:w="1701" w:type="dxa"/>
            <w:vAlign w:val="bottom"/>
          </w:tcPr>
          <w:p w:rsidR="000C075A" w:rsidRDefault="000C075A" w:rsidP="00EF4AE9">
            <w:pPr>
              <w:rPr>
                <w:rFonts w:ascii="Arial" w:hAnsi="Arial" w:cs="Arial"/>
                <w:color w:val="000000"/>
              </w:rPr>
            </w:pPr>
            <w:r>
              <w:rPr>
                <w:rFonts w:ascii="Arial" w:hAnsi="Arial" w:cs="Arial"/>
                <w:color w:val="000000"/>
              </w:rPr>
              <w:t>263.4423675</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2000</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124.0019182</w:t>
            </w:r>
          </w:p>
        </w:tc>
        <w:tc>
          <w:tcPr>
            <w:tcW w:w="1842" w:type="dxa"/>
            <w:vAlign w:val="bottom"/>
          </w:tcPr>
          <w:p w:rsidR="000C075A" w:rsidRDefault="000C075A" w:rsidP="00EF4AE9">
            <w:pPr>
              <w:rPr>
                <w:rFonts w:ascii="Arial" w:hAnsi="Arial" w:cs="Arial"/>
                <w:color w:val="000000"/>
              </w:rPr>
            </w:pPr>
            <w:r>
              <w:rPr>
                <w:rFonts w:ascii="Arial" w:hAnsi="Arial" w:cs="Arial"/>
                <w:color w:val="000000"/>
              </w:rPr>
              <w:t>121.5298659</w:t>
            </w:r>
          </w:p>
        </w:tc>
        <w:tc>
          <w:tcPr>
            <w:tcW w:w="1560" w:type="dxa"/>
            <w:vAlign w:val="bottom"/>
          </w:tcPr>
          <w:p w:rsidR="000C075A" w:rsidRDefault="000C075A" w:rsidP="00EF4AE9">
            <w:pPr>
              <w:rPr>
                <w:rFonts w:ascii="Arial" w:hAnsi="Arial" w:cs="Arial"/>
                <w:color w:val="000000"/>
              </w:rPr>
            </w:pPr>
            <w:r>
              <w:rPr>
                <w:rFonts w:ascii="Arial" w:hAnsi="Arial" w:cs="Arial"/>
                <w:color w:val="000000"/>
              </w:rPr>
              <w:t>144.4878</w:t>
            </w:r>
          </w:p>
        </w:tc>
        <w:tc>
          <w:tcPr>
            <w:tcW w:w="1701" w:type="dxa"/>
            <w:vAlign w:val="bottom"/>
          </w:tcPr>
          <w:p w:rsidR="000C075A" w:rsidRDefault="000C075A" w:rsidP="00EF4AE9">
            <w:pPr>
              <w:rPr>
                <w:rFonts w:ascii="Arial" w:hAnsi="Arial" w:cs="Arial"/>
                <w:color w:val="000000"/>
              </w:rPr>
            </w:pPr>
            <w:r>
              <w:rPr>
                <w:rFonts w:ascii="Arial" w:hAnsi="Arial" w:cs="Arial"/>
                <w:color w:val="000000"/>
              </w:rPr>
              <w:t>279.0056788</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2001</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117.8367696</w:t>
            </w:r>
          </w:p>
        </w:tc>
        <w:tc>
          <w:tcPr>
            <w:tcW w:w="1842" w:type="dxa"/>
            <w:vAlign w:val="bottom"/>
          </w:tcPr>
          <w:p w:rsidR="000C075A" w:rsidRDefault="000C075A" w:rsidP="00EF4AE9">
            <w:pPr>
              <w:rPr>
                <w:rFonts w:ascii="Arial" w:hAnsi="Arial" w:cs="Arial"/>
                <w:color w:val="000000"/>
              </w:rPr>
            </w:pPr>
            <w:r>
              <w:rPr>
                <w:rFonts w:ascii="Arial" w:hAnsi="Arial" w:cs="Arial"/>
                <w:color w:val="000000"/>
              </w:rPr>
              <w:t>101.7512705</w:t>
            </w:r>
          </w:p>
        </w:tc>
        <w:tc>
          <w:tcPr>
            <w:tcW w:w="1560" w:type="dxa"/>
            <w:vAlign w:val="bottom"/>
          </w:tcPr>
          <w:p w:rsidR="000C075A" w:rsidRDefault="000C075A" w:rsidP="00EF4AE9">
            <w:pPr>
              <w:rPr>
                <w:rFonts w:ascii="Arial" w:hAnsi="Arial" w:cs="Arial"/>
                <w:color w:val="000000"/>
              </w:rPr>
            </w:pPr>
            <w:r>
              <w:rPr>
                <w:rFonts w:ascii="Arial" w:hAnsi="Arial" w:cs="Arial"/>
                <w:color w:val="000000"/>
              </w:rPr>
              <w:t>133.7509</w:t>
            </w:r>
          </w:p>
        </w:tc>
        <w:tc>
          <w:tcPr>
            <w:tcW w:w="1701" w:type="dxa"/>
            <w:vAlign w:val="bottom"/>
          </w:tcPr>
          <w:p w:rsidR="000C075A" w:rsidRDefault="000C075A" w:rsidP="00EF4AE9">
            <w:pPr>
              <w:rPr>
                <w:rFonts w:ascii="Arial" w:hAnsi="Arial" w:cs="Arial"/>
                <w:color w:val="000000"/>
              </w:rPr>
            </w:pPr>
            <w:r>
              <w:rPr>
                <w:rFonts w:ascii="Arial" w:hAnsi="Arial" w:cs="Arial"/>
                <w:color w:val="000000"/>
              </w:rPr>
              <w:t>248.0137512</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2002</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124.5785074</w:t>
            </w:r>
          </w:p>
        </w:tc>
        <w:tc>
          <w:tcPr>
            <w:tcW w:w="1842" w:type="dxa"/>
            <w:vAlign w:val="bottom"/>
          </w:tcPr>
          <w:p w:rsidR="000C075A" w:rsidRDefault="000C075A" w:rsidP="00EF4AE9">
            <w:pPr>
              <w:rPr>
                <w:rFonts w:ascii="Arial" w:hAnsi="Arial" w:cs="Arial"/>
                <w:color w:val="000000"/>
              </w:rPr>
            </w:pPr>
            <w:r>
              <w:rPr>
                <w:rFonts w:ascii="Arial" w:hAnsi="Arial" w:cs="Arial"/>
                <w:color w:val="000000"/>
              </w:rPr>
              <w:t>93.35171187</w:t>
            </w:r>
          </w:p>
        </w:tc>
        <w:tc>
          <w:tcPr>
            <w:tcW w:w="1560" w:type="dxa"/>
            <w:vAlign w:val="bottom"/>
          </w:tcPr>
          <w:p w:rsidR="000C075A" w:rsidRDefault="000C075A" w:rsidP="00EF4AE9">
            <w:pPr>
              <w:rPr>
                <w:rFonts w:ascii="Arial" w:hAnsi="Arial" w:cs="Arial"/>
                <w:color w:val="000000"/>
              </w:rPr>
            </w:pPr>
            <w:r>
              <w:rPr>
                <w:rFonts w:ascii="Arial" w:hAnsi="Arial" w:cs="Arial"/>
                <w:color w:val="000000"/>
              </w:rPr>
              <w:t>127.842</w:t>
            </w:r>
          </w:p>
        </w:tc>
        <w:tc>
          <w:tcPr>
            <w:tcW w:w="1701" w:type="dxa"/>
            <w:vAlign w:val="bottom"/>
          </w:tcPr>
          <w:p w:rsidR="000C075A" w:rsidRDefault="000C075A" w:rsidP="00EF4AE9">
            <w:pPr>
              <w:rPr>
                <w:rFonts w:ascii="Arial" w:hAnsi="Arial" w:cs="Arial"/>
                <w:color w:val="000000"/>
              </w:rPr>
            </w:pPr>
            <w:r>
              <w:rPr>
                <w:rFonts w:ascii="Arial" w:hAnsi="Arial" w:cs="Arial"/>
                <w:color w:val="000000"/>
              </w:rPr>
              <w:t>216.2144288</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2003</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127.0684523</w:t>
            </w:r>
          </w:p>
        </w:tc>
        <w:tc>
          <w:tcPr>
            <w:tcW w:w="1842" w:type="dxa"/>
            <w:vAlign w:val="bottom"/>
          </w:tcPr>
          <w:p w:rsidR="000C075A" w:rsidRDefault="000C075A" w:rsidP="00EF4AE9">
            <w:pPr>
              <w:rPr>
                <w:rFonts w:ascii="Arial" w:hAnsi="Arial" w:cs="Arial"/>
                <w:color w:val="000000"/>
              </w:rPr>
            </w:pPr>
            <w:r>
              <w:rPr>
                <w:rFonts w:ascii="Arial" w:hAnsi="Arial" w:cs="Arial"/>
                <w:color w:val="000000"/>
              </w:rPr>
              <w:t>88.46782873</w:t>
            </w:r>
          </w:p>
        </w:tc>
        <w:tc>
          <w:tcPr>
            <w:tcW w:w="1560" w:type="dxa"/>
            <w:vAlign w:val="bottom"/>
          </w:tcPr>
          <w:p w:rsidR="000C075A" w:rsidRDefault="000C075A" w:rsidP="00EF4AE9">
            <w:pPr>
              <w:rPr>
                <w:rFonts w:ascii="Arial" w:hAnsi="Arial" w:cs="Arial"/>
                <w:color w:val="000000"/>
              </w:rPr>
            </w:pPr>
            <w:r>
              <w:rPr>
                <w:rFonts w:ascii="Arial" w:hAnsi="Arial" w:cs="Arial"/>
                <w:color w:val="000000"/>
              </w:rPr>
              <w:t>128.7972</w:t>
            </w:r>
          </w:p>
        </w:tc>
        <w:tc>
          <w:tcPr>
            <w:tcW w:w="1701" w:type="dxa"/>
            <w:vAlign w:val="bottom"/>
          </w:tcPr>
          <w:p w:rsidR="000C075A" w:rsidRDefault="000C075A" w:rsidP="00EF4AE9">
            <w:pPr>
              <w:rPr>
                <w:rFonts w:ascii="Arial" w:hAnsi="Arial" w:cs="Arial"/>
                <w:color w:val="000000"/>
              </w:rPr>
            </w:pPr>
            <w:r>
              <w:rPr>
                <w:rFonts w:ascii="Arial" w:hAnsi="Arial" w:cs="Arial"/>
                <w:color w:val="000000"/>
              </w:rPr>
              <w:t>196.8668826</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2004</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124.1672729</w:t>
            </w:r>
          </w:p>
        </w:tc>
        <w:tc>
          <w:tcPr>
            <w:tcW w:w="1842" w:type="dxa"/>
            <w:vAlign w:val="bottom"/>
          </w:tcPr>
          <w:p w:rsidR="000C075A" w:rsidRDefault="000C075A" w:rsidP="00EF4AE9">
            <w:pPr>
              <w:rPr>
                <w:rFonts w:ascii="Arial" w:hAnsi="Arial" w:cs="Arial"/>
                <w:color w:val="000000"/>
              </w:rPr>
            </w:pPr>
            <w:r>
              <w:rPr>
                <w:rFonts w:ascii="Arial" w:hAnsi="Arial" w:cs="Arial"/>
                <w:color w:val="000000"/>
              </w:rPr>
              <w:t>80.19559819</w:t>
            </w:r>
          </w:p>
        </w:tc>
        <w:tc>
          <w:tcPr>
            <w:tcW w:w="1560" w:type="dxa"/>
            <w:vAlign w:val="bottom"/>
          </w:tcPr>
          <w:p w:rsidR="000C075A" w:rsidRDefault="000C075A" w:rsidP="00EF4AE9">
            <w:pPr>
              <w:rPr>
                <w:rFonts w:ascii="Arial" w:hAnsi="Arial" w:cs="Arial"/>
                <w:color w:val="000000"/>
              </w:rPr>
            </w:pPr>
            <w:r>
              <w:rPr>
                <w:rFonts w:ascii="Arial" w:hAnsi="Arial" w:cs="Arial"/>
                <w:color w:val="000000"/>
              </w:rPr>
              <w:t>120.26</w:t>
            </w:r>
          </w:p>
        </w:tc>
        <w:tc>
          <w:tcPr>
            <w:tcW w:w="1701" w:type="dxa"/>
            <w:vAlign w:val="bottom"/>
          </w:tcPr>
          <w:p w:rsidR="000C075A" w:rsidRDefault="000C075A" w:rsidP="00EF4AE9">
            <w:pPr>
              <w:rPr>
                <w:rFonts w:ascii="Arial" w:hAnsi="Arial" w:cs="Arial"/>
                <w:color w:val="000000"/>
              </w:rPr>
            </w:pPr>
            <w:r>
              <w:rPr>
                <w:rFonts w:ascii="Arial" w:hAnsi="Arial" w:cs="Arial"/>
                <w:color w:val="000000"/>
              </w:rPr>
              <w:t>187.509779</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2005</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93.0030638</w:t>
            </w:r>
          </w:p>
        </w:tc>
        <w:tc>
          <w:tcPr>
            <w:tcW w:w="1842" w:type="dxa"/>
            <w:vAlign w:val="bottom"/>
          </w:tcPr>
          <w:p w:rsidR="000C075A" w:rsidRDefault="000C075A" w:rsidP="00EF4AE9">
            <w:pPr>
              <w:rPr>
                <w:rFonts w:ascii="Arial" w:hAnsi="Arial" w:cs="Arial"/>
                <w:color w:val="000000"/>
              </w:rPr>
            </w:pPr>
            <w:r>
              <w:rPr>
                <w:rFonts w:ascii="Arial" w:hAnsi="Arial" w:cs="Arial"/>
                <w:color w:val="000000"/>
              </w:rPr>
              <w:t>55.89171061</w:t>
            </w:r>
          </w:p>
        </w:tc>
        <w:tc>
          <w:tcPr>
            <w:tcW w:w="1560" w:type="dxa"/>
            <w:vAlign w:val="bottom"/>
          </w:tcPr>
          <w:p w:rsidR="000C075A" w:rsidRDefault="000C075A" w:rsidP="00EF4AE9">
            <w:pPr>
              <w:rPr>
                <w:rFonts w:ascii="Arial" w:hAnsi="Arial" w:cs="Arial"/>
                <w:color w:val="000000"/>
              </w:rPr>
            </w:pPr>
            <w:r>
              <w:rPr>
                <w:rFonts w:ascii="Arial" w:hAnsi="Arial" w:cs="Arial"/>
                <w:color w:val="000000"/>
              </w:rPr>
              <w:t>91.87092</w:t>
            </w:r>
          </w:p>
        </w:tc>
        <w:tc>
          <w:tcPr>
            <w:tcW w:w="1701" w:type="dxa"/>
            <w:vAlign w:val="bottom"/>
          </w:tcPr>
          <w:p w:rsidR="000C075A" w:rsidRDefault="000C075A" w:rsidP="00EF4AE9">
            <w:pPr>
              <w:rPr>
                <w:rFonts w:ascii="Arial" w:hAnsi="Arial" w:cs="Arial"/>
                <w:color w:val="000000"/>
              </w:rPr>
            </w:pPr>
            <w:r>
              <w:rPr>
                <w:rFonts w:ascii="Arial" w:hAnsi="Arial" w:cs="Arial"/>
                <w:color w:val="000000"/>
              </w:rPr>
              <w:t>142.649387</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2006</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92.19573738</w:t>
            </w:r>
          </w:p>
        </w:tc>
        <w:tc>
          <w:tcPr>
            <w:tcW w:w="1842" w:type="dxa"/>
            <w:vAlign w:val="bottom"/>
          </w:tcPr>
          <w:p w:rsidR="000C075A" w:rsidRDefault="000C075A" w:rsidP="00EF4AE9">
            <w:pPr>
              <w:rPr>
                <w:rFonts w:ascii="Arial" w:hAnsi="Arial" w:cs="Arial"/>
                <w:color w:val="000000"/>
              </w:rPr>
            </w:pPr>
            <w:r>
              <w:rPr>
                <w:rFonts w:ascii="Arial" w:hAnsi="Arial" w:cs="Arial"/>
                <w:color w:val="000000"/>
              </w:rPr>
              <w:t>47.91979106</w:t>
            </w:r>
          </w:p>
        </w:tc>
        <w:tc>
          <w:tcPr>
            <w:tcW w:w="1560" w:type="dxa"/>
            <w:vAlign w:val="bottom"/>
          </w:tcPr>
          <w:p w:rsidR="000C075A" w:rsidRDefault="000C075A" w:rsidP="00EF4AE9">
            <w:pPr>
              <w:rPr>
                <w:rFonts w:ascii="Arial" w:hAnsi="Arial" w:cs="Arial"/>
                <w:color w:val="000000"/>
              </w:rPr>
            </w:pPr>
            <w:r>
              <w:rPr>
                <w:rFonts w:ascii="Arial" w:hAnsi="Arial" w:cs="Arial"/>
                <w:color w:val="000000"/>
              </w:rPr>
              <w:t>88.76036</w:t>
            </w:r>
          </w:p>
        </w:tc>
        <w:tc>
          <w:tcPr>
            <w:tcW w:w="1701" w:type="dxa"/>
            <w:vAlign w:val="bottom"/>
          </w:tcPr>
          <w:p w:rsidR="000C075A" w:rsidRDefault="000C075A" w:rsidP="00EF4AE9">
            <w:pPr>
              <w:rPr>
                <w:rFonts w:ascii="Arial" w:hAnsi="Arial" w:cs="Arial"/>
                <w:color w:val="000000"/>
              </w:rPr>
            </w:pPr>
            <w:r>
              <w:rPr>
                <w:rFonts w:ascii="Arial" w:hAnsi="Arial" w:cs="Arial"/>
                <w:color w:val="000000"/>
              </w:rPr>
              <w:t>127.2913028</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2007</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77.78670994</w:t>
            </w:r>
          </w:p>
        </w:tc>
        <w:tc>
          <w:tcPr>
            <w:tcW w:w="1842" w:type="dxa"/>
            <w:vAlign w:val="bottom"/>
          </w:tcPr>
          <w:p w:rsidR="000C075A" w:rsidRDefault="000C075A" w:rsidP="00EF4AE9">
            <w:pPr>
              <w:rPr>
                <w:rFonts w:ascii="Arial" w:hAnsi="Arial" w:cs="Arial"/>
                <w:color w:val="000000"/>
              </w:rPr>
            </w:pPr>
            <w:r>
              <w:rPr>
                <w:rFonts w:ascii="Arial" w:hAnsi="Arial" w:cs="Arial"/>
                <w:color w:val="000000"/>
              </w:rPr>
              <w:t>43.83898459</w:t>
            </w:r>
          </w:p>
        </w:tc>
        <w:tc>
          <w:tcPr>
            <w:tcW w:w="1560" w:type="dxa"/>
            <w:vAlign w:val="bottom"/>
          </w:tcPr>
          <w:p w:rsidR="000C075A" w:rsidRDefault="000C075A" w:rsidP="00EF4AE9">
            <w:pPr>
              <w:rPr>
                <w:rFonts w:ascii="Arial" w:hAnsi="Arial" w:cs="Arial"/>
                <w:color w:val="000000"/>
              </w:rPr>
            </w:pPr>
            <w:r>
              <w:rPr>
                <w:rFonts w:ascii="Arial" w:hAnsi="Arial" w:cs="Arial"/>
                <w:color w:val="000000"/>
              </w:rPr>
              <w:t>58.27866</w:t>
            </w:r>
          </w:p>
        </w:tc>
        <w:tc>
          <w:tcPr>
            <w:tcW w:w="1701" w:type="dxa"/>
            <w:vAlign w:val="bottom"/>
          </w:tcPr>
          <w:p w:rsidR="000C075A" w:rsidRDefault="000C075A" w:rsidP="00EF4AE9">
            <w:pPr>
              <w:rPr>
                <w:rFonts w:ascii="Arial" w:hAnsi="Arial" w:cs="Arial"/>
                <w:color w:val="000000"/>
              </w:rPr>
            </w:pPr>
            <w:r>
              <w:rPr>
                <w:rFonts w:ascii="Arial" w:hAnsi="Arial" w:cs="Arial"/>
                <w:color w:val="000000"/>
              </w:rPr>
              <w:t>105.4327022</w:t>
            </w:r>
          </w:p>
        </w:tc>
        <w:tc>
          <w:tcPr>
            <w:tcW w:w="1242" w:type="dxa"/>
            <w:vAlign w:val="bottom"/>
          </w:tcPr>
          <w:p w:rsidR="000C075A" w:rsidRPr="009B7B8B" w:rsidRDefault="000C075A" w:rsidP="00EF4AE9">
            <w:pPr>
              <w:rPr>
                <w:rFonts w:asciiTheme="majorBidi" w:hAnsiTheme="majorBidi" w:cstheme="majorBidi"/>
                <w:color w:val="000000"/>
                <w:sz w:val="24"/>
                <w:szCs w:val="24"/>
              </w:rPr>
            </w:pPr>
            <w:r w:rsidRPr="009B7B8B">
              <w:rPr>
                <w:rFonts w:asciiTheme="majorBidi" w:hAnsiTheme="majorBidi" w:cstheme="majorBidi"/>
                <w:color w:val="000000"/>
                <w:sz w:val="24"/>
                <w:szCs w:val="24"/>
              </w:rPr>
              <w:t>2008</w:t>
            </w:r>
          </w:p>
        </w:tc>
      </w:tr>
    </w:tbl>
    <w:p w:rsidR="00B82557" w:rsidRDefault="00B82557" w:rsidP="0087119B">
      <w:pPr>
        <w:tabs>
          <w:tab w:val="left" w:pos="6208"/>
        </w:tabs>
        <w:rPr>
          <w:rFonts w:asciiTheme="majorBidi" w:hAnsiTheme="majorBidi" w:cstheme="majorBidi"/>
          <w:b/>
          <w:bCs/>
          <w:lang w:bidi="ar-EG"/>
        </w:rPr>
      </w:pPr>
    </w:p>
    <w:p w:rsidR="000C075A" w:rsidRDefault="00B82557" w:rsidP="00F01F27">
      <w:pPr>
        <w:rPr>
          <w:rFonts w:asciiTheme="majorBidi" w:hAnsiTheme="majorBidi" w:cstheme="majorBidi"/>
          <w:lang w:bidi="ar-EG"/>
        </w:rPr>
      </w:pPr>
      <w:r>
        <w:rPr>
          <w:rFonts w:asciiTheme="majorBidi" w:hAnsiTheme="majorBidi" w:cstheme="majorBidi"/>
          <w:lang w:bidi="ar-EG"/>
        </w:rPr>
        <w:t>Note: a</w:t>
      </w:r>
      <w:r w:rsidR="00F01F27">
        <w:rPr>
          <w:rFonts w:asciiTheme="majorBidi" w:hAnsiTheme="majorBidi" w:cstheme="majorBidi"/>
          <w:lang w:bidi="ar-EG"/>
        </w:rPr>
        <w:t xml:space="preserve">ll numbers in this table are calculated by using </w:t>
      </w:r>
      <w:r>
        <w:rPr>
          <w:rFonts w:asciiTheme="majorBidi" w:hAnsiTheme="majorBidi" w:cstheme="majorBidi"/>
          <w:lang w:bidi="ar-EG"/>
        </w:rPr>
        <w:t>table</w:t>
      </w:r>
      <w:r w:rsidR="00F01F27">
        <w:rPr>
          <w:rFonts w:asciiTheme="majorBidi" w:hAnsiTheme="majorBidi" w:cstheme="majorBidi"/>
          <w:lang w:bidi="ar-EG"/>
        </w:rPr>
        <w:t>s (1), (5), (6), and this formula:</w:t>
      </w:r>
    </w:p>
    <w:p w:rsidR="00260798" w:rsidRPr="00260798" w:rsidRDefault="00260798" w:rsidP="00260798">
      <w:pPr>
        <w:pStyle w:val="NormalWeb"/>
      </w:pPr>
      <w:r w:rsidRPr="00260798">
        <w:t>ACPI= ( CPI</w:t>
      </w:r>
      <w:r w:rsidRPr="00260798">
        <w:rPr>
          <w:vertAlign w:val="subscript"/>
        </w:rPr>
        <w:t xml:space="preserve">current </w:t>
      </w:r>
      <w:r w:rsidRPr="00260798">
        <w:t xml:space="preserve">X exchange rate </w:t>
      </w:r>
      <w:r w:rsidRPr="00260798">
        <w:rPr>
          <w:vertAlign w:val="subscript"/>
        </w:rPr>
        <w:t xml:space="preserve">current  </w:t>
      </w:r>
      <w:r w:rsidRPr="00260798">
        <w:t>)/ (CPI</w:t>
      </w:r>
      <w:r w:rsidRPr="00260798">
        <w:rPr>
          <w:vertAlign w:val="subscript"/>
        </w:rPr>
        <w:t>base</w:t>
      </w:r>
      <w:r w:rsidRPr="00260798">
        <w:t xml:space="preserve">X  exchange rate </w:t>
      </w:r>
      <w:r w:rsidRPr="00260798">
        <w:rPr>
          <w:vertAlign w:val="subscript"/>
        </w:rPr>
        <w:t>base</w:t>
      </w:r>
      <w:r w:rsidRPr="00260798">
        <w:t>)</w:t>
      </w:r>
      <w:r>
        <w:t>.</w:t>
      </w:r>
    </w:p>
    <w:p w:rsidR="000C075A" w:rsidRDefault="000C075A" w:rsidP="000C075A">
      <w:pPr>
        <w:rPr>
          <w:rFonts w:asciiTheme="majorBidi" w:hAnsiTheme="majorBidi" w:cstheme="majorBidi"/>
          <w:b/>
          <w:bCs/>
          <w:lang w:bidi="ar-EG"/>
        </w:rPr>
      </w:pPr>
      <w:r w:rsidRPr="00006D66">
        <w:rPr>
          <w:rFonts w:asciiTheme="majorBidi" w:hAnsiTheme="majorBidi" w:cstheme="majorBidi"/>
          <w:b/>
          <w:bCs/>
          <w:lang w:bidi="ar-EG"/>
        </w:rPr>
        <w:lastRenderedPageBreak/>
        <w:t>Table (</w:t>
      </w:r>
      <w:r>
        <w:rPr>
          <w:rFonts w:asciiTheme="majorBidi" w:hAnsiTheme="majorBidi" w:cstheme="majorBidi"/>
          <w:b/>
          <w:bCs/>
          <w:lang w:bidi="ar-EG"/>
        </w:rPr>
        <w:t>3</w:t>
      </w:r>
      <w:r w:rsidRPr="00006D66">
        <w:rPr>
          <w:rFonts w:asciiTheme="majorBidi" w:hAnsiTheme="majorBidi" w:cstheme="majorBidi"/>
          <w:b/>
          <w:bCs/>
          <w:lang w:bidi="ar-EG"/>
        </w:rPr>
        <w:t>)</w:t>
      </w:r>
      <w:r>
        <w:rPr>
          <w:rFonts w:asciiTheme="majorBidi" w:hAnsiTheme="majorBidi" w:cstheme="majorBidi"/>
          <w:b/>
          <w:bCs/>
          <w:lang w:bidi="ar-EG"/>
        </w:rPr>
        <w:t xml:space="preserve"> the adjusted inflation rate</w:t>
      </w:r>
      <w:r w:rsidRPr="00006D66">
        <w:rPr>
          <w:rFonts w:asciiTheme="majorBidi" w:hAnsiTheme="majorBidi" w:cstheme="majorBidi"/>
          <w:b/>
          <w:bCs/>
          <w:lang w:bidi="ar-EG"/>
        </w:rPr>
        <w:t>:</w:t>
      </w:r>
    </w:p>
    <w:p w:rsidR="000C075A" w:rsidRPr="00006D66" w:rsidRDefault="000C075A" w:rsidP="000C075A">
      <w:pPr>
        <w:jc w:val="right"/>
        <w:rPr>
          <w:rFonts w:asciiTheme="majorBidi" w:hAnsiTheme="majorBidi" w:cstheme="majorBidi"/>
          <w:b/>
          <w:bCs/>
          <w:lang w:bidi="ar-EG"/>
        </w:rPr>
      </w:pPr>
    </w:p>
    <w:tbl>
      <w:tblPr>
        <w:tblStyle w:val="TableGrid"/>
        <w:bidiVisual/>
        <w:tblW w:w="0" w:type="auto"/>
        <w:tblLook w:val="04A0"/>
      </w:tblPr>
      <w:tblGrid>
        <w:gridCol w:w="2177"/>
        <w:gridCol w:w="1701"/>
        <w:gridCol w:w="1701"/>
        <w:gridCol w:w="1701"/>
        <w:gridCol w:w="1242"/>
      </w:tblGrid>
      <w:tr w:rsidR="000C075A" w:rsidTr="00EF4AE9">
        <w:tc>
          <w:tcPr>
            <w:tcW w:w="2177" w:type="dxa"/>
          </w:tcPr>
          <w:p w:rsidR="000C075A" w:rsidRDefault="000C075A" w:rsidP="000C075A">
            <w:pPr>
              <w:rPr>
                <w:rFonts w:asciiTheme="majorBidi" w:hAnsiTheme="majorBidi" w:cstheme="majorBidi"/>
                <w:b/>
                <w:bCs/>
                <w:sz w:val="24"/>
                <w:szCs w:val="24"/>
                <w:rtl/>
                <w:lang w:bidi="ar-EG"/>
              </w:rPr>
            </w:pPr>
            <w:r>
              <w:rPr>
                <w:rFonts w:asciiTheme="majorBidi" w:hAnsiTheme="majorBidi" w:cstheme="majorBidi"/>
                <w:b/>
                <w:bCs/>
                <w:sz w:val="24"/>
                <w:szCs w:val="24"/>
                <w:lang w:bidi="ar-EG"/>
              </w:rPr>
              <w:t>AIR  in Australia</w:t>
            </w:r>
          </w:p>
        </w:tc>
        <w:tc>
          <w:tcPr>
            <w:tcW w:w="1701" w:type="dxa"/>
          </w:tcPr>
          <w:p w:rsidR="000C075A" w:rsidRDefault="000C075A" w:rsidP="000C075A">
            <w:pPr>
              <w:rPr>
                <w:rFonts w:asciiTheme="majorBidi" w:hAnsiTheme="majorBidi" w:cstheme="majorBidi"/>
                <w:b/>
                <w:bCs/>
                <w:sz w:val="24"/>
                <w:szCs w:val="24"/>
                <w:lang w:bidi="ar-EG"/>
              </w:rPr>
            </w:pPr>
            <w:r>
              <w:rPr>
                <w:rFonts w:asciiTheme="majorBidi" w:hAnsiTheme="majorBidi" w:cstheme="majorBidi"/>
                <w:b/>
                <w:bCs/>
                <w:sz w:val="24"/>
                <w:szCs w:val="24"/>
                <w:lang w:bidi="ar-EG"/>
              </w:rPr>
              <w:t>AIR in Japan</w:t>
            </w:r>
          </w:p>
        </w:tc>
        <w:tc>
          <w:tcPr>
            <w:tcW w:w="1701" w:type="dxa"/>
          </w:tcPr>
          <w:p w:rsidR="000C075A" w:rsidRDefault="000C075A" w:rsidP="000C075A">
            <w:pPr>
              <w:rPr>
                <w:rFonts w:asciiTheme="majorBidi" w:hAnsiTheme="majorBidi" w:cstheme="majorBidi"/>
                <w:b/>
                <w:bCs/>
                <w:sz w:val="24"/>
                <w:szCs w:val="24"/>
                <w:rtl/>
                <w:lang w:bidi="ar-EG"/>
              </w:rPr>
            </w:pPr>
            <w:r>
              <w:rPr>
                <w:rFonts w:asciiTheme="majorBidi" w:hAnsiTheme="majorBidi" w:cstheme="majorBidi"/>
                <w:b/>
                <w:bCs/>
                <w:sz w:val="24"/>
                <w:szCs w:val="24"/>
                <w:lang w:bidi="ar-EG"/>
              </w:rPr>
              <w:t>AIR  in UK</w:t>
            </w:r>
          </w:p>
        </w:tc>
        <w:tc>
          <w:tcPr>
            <w:tcW w:w="1701" w:type="dxa"/>
          </w:tcPr>
          <w:p w:rsidR="000C075A" w:rsidRDefault="000C075A" w:rsidP="000C075A">
            <w:pPr>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AIR  in USA </w:t>
            </w:r>
          </w:p>
        </w:tc>
        <w:tc>
          <w:tcPr>
            <w:tcW w:w="1242" w:type="dxa"/>
          </w:tcPr>
          <w:p w:rsidR="000C075A" w:rsidRDefault="000C075A" w:rsidP="000C075A">
            <w:pPr>
              <w:rPr>
                <w:rFonts w:asciiTheme="majorBidi" w:hAnsiTheme="majorBidi" w:cstheme="majorBidi"/>
                <w:b/>
                <w:bCs/>
                <w:sz w:val="24"/>
                <w:szCs w:val="24"/>
                <w:lang w:bidi="ar-EG"/>
              </w:rPr>
            </w:pPr>
            <w:r>
              <w:rPr>
                <w:rFonts w:asciiTheme="majorBidi" w:hAnsiTheme="majorBidi" w:cstheme="majorBidi"/>
                <w:b/>
                <w:bCs/>
                <w:sz w:val="24"/>
                <w:szCs w:val="24"/>
                <w:lang w:bidi="ar-EG"/>
              </w:rPr>
              <w:t>Year</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-0.21697</w:t>
            </w:r>
          </w:p>
        </w:tc>
        <w:tc>
          <w:tcPr>
            <w:tcW w:w="1701" w:type="dxa"/>
            <w:vAlign w:val="bottom"/>
          </w:tcPr>
          <w:p w:rsidR="000C075A" w:rsidRDefault="000C075A" w:rsidP="00EF4AE9">
            <w:pPr>
              <w:rPr>
                <w:rFonts w:ascii="Arial" w:hAnsi="Arial" w:cs="Arial"/>
                <w:color w:val="000000"/>
              </w:rPr>
            </w:pPr>
            <w:r>
              <w:rPr>
                <w:rFonts w:ascii="Arial" w:hAnsi="Arial" w:cs="Arial"/>
                <w:color w:val="000000"/>
              </w:rPr>
              <w:t>-0.16855</w:t>
            </w:r>
          </w:p>
        </w:tc>
        <w:tc>
          <w:tcPr>
            <w:tcW w:w="1701" w:type="dxa"/>
            <w:vAlign w:val="bottom"/>
          </w:tcPr>
          <w:p w:rsidR="000C075A" w:rsidRDefault="000C075A" w:rsidP="00EF4AE9">
            <w:pPr>
              <w:rPr>
                <w:rFonts w:ascii="Arial" w:hAnsi="Arial" w:cs="Arial"/>
                <w:color w:val="000000"/>
              </w:rPr>
            </w:pPr>
            <w:r>
              <w:rPr>
                <w:rFonts w:ascii="Arial" w:hAnsi="Arial" w:cs="Arial"/>
                <w:color w:val="000000"/>
              </w:rPr>
              <w:t>-0.235560256</w:t>
            </w:r>
          </w:p>
        </w:tc>
        <w:tc>
          <w:tcPr>
            <w:tcW w:w="1701" w:type="dxa"/>
            <w:vAlign w:val="bottom"/>
          </w:tcPr>
          <w:p w:rsidR="000C075A" w:rsidRDefault="000C075A" w:rsidP="00EF4AE9">
            <w:pPr>
              <w:rPr>
                <w:rFonts w:ascii="Arial" w:hAnsi="Arial" w:cs="Arial"/>
                <w:color w:val="000000"/>
              </w:rPr>
            </w:pPr>
            <w:r>
              <w:rPr>
                <w:rFonts w:ascii="Arial" w:hAnsi="Arial" w:cs="Arial"/>
                <w:color w:val="000000"/>
              </w:rPr>
              <w:t>-0.0744</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1971</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-0.24512</w:t>
            </w:r>
          </w:p>
        </w:tc>
        <w:tc>
          <w:tcPr>
            <w:tcW w:w="1701" w:type="dxa"/>
            <w:vAlign w:val="bottom"/>
          </w:tcPr>
          <w:p w:rsidR="000C075A" w:rsidRDefault="000C075A" w:rsidP="00EF4AE9">
            <w:pPr>
              <w:rPr>
                <w:rFonts w:ascii="Arial" w:hAnsi="Arial" w:cs="Arial"/>
                <w:color w:val="000000"/>
              </w:rPr>
            </w:pPr>
            <w:r>
              <w:rPr>
                <w:rFonts w:ascii="Arial" w:hAnsi="Arial" w:cs="Arial"/>
                <w:color w:val="000000"/>
              </w:rPr>
              <w:t>-0.28627</w:t>
            </w:r>
          </w:p>
        </w:tc>
        <w:tc>
          <w:tcPr>
            <w:tcW w:w="1701" w:type="dxa"/>
            <w:vAlign w:val="bottom"/>
          </w:tcPr>
          <w:p w:rsidR="000C075A" w:rsidRDefault="000C075A" w:rsidP="00EF4AE9">
            <w:pPr>
              <w:rPr>
                <w:rFonts w:ascii="Arial" w:hAnsi="Arial" w:cs="Arial"/>
                <w:color w:val="000000"/>
              </w:rPr>
            </w:pPr>
            <w:r>
              <w:rPr>
                <w:rFonts w:ascii="Arial" w:hAnsi="Arial" w:cs="Arial"/>
                <w:color w:val="000000"/>
              </w:rPr>
              <w:t>-0.358022043</w:t>
            </w:r>
          </w:p>
        </w:tc>
        <w:tc>
          <w:tcPr>
            <w:tcW w:w="1701" w:type="dxa"/>
            <w:vAlign w:val="bottom"/>
          </w:tcPr>
          <w:p w:rsidR="000C075A" w:rsidRDefault="000C075A" w:rsidP="00EF4AE9">
            <w:pPr>
              <w:rPr>
                <w:rFonts w:ascii="Arial" w:hAnsi="Arial" w:cs="Arial"/>
                <w:color w:val="000000"/>
              </w:rPr>
            </w:pPr>
            <w:r>
              <w:rPr>
                <w:rFonts w:ascii="Arial" w:hAnsi="Arial" w:cs="Arial"/>
                <w:color w:val="000000"/>
              </w:rPr>
              <w:t>-0.2824</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1972</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-0.27193</w:t>
            </w:r>
          </w:p>
        </w:tc>
        <w:tc>
          <w:tcPr>
            <w:tcW w:w="1701" w:type="dxa"/>
            <w:vAlign w:val="bottom"/>
          </w:tcPr>
          <w:p w:rsidR="000C075A" w:rsidRDefault="000C075A" w:rsidP="00EF4AE9">
            <w:pPr>
              <w:rPr>
                <w:rFonts w:ascii="Arial" w:hAnsi="Arial" w:cs="Arial"/>
                <w:color w:val="000000"/>
              </w:rPr>
            </w:pPr>
            <w:r>
              <w:rPr>
                <w:rFonts w:ascii="Arial" w:hAnsi="Arial" w:cs="Arial"/>
                <w:color w:val="000000"/>
              </w:rPr>
              <w:t>-0.28198</w:t>
            </w:r>
          </w:p>
        </w:tc>
        <w:tc>
          <w:tcPr>
            <w:tcW w:w="1701" w:type="dxa"/>
            <w:vAlign w:val="bottom"/>
          </w:tcPr>
          <w:p w:rsidR="000C075A" w:rsidRDefault="000C075A" w:rsidP="00EF4AE9">
            <w:pPr>
              <w:rPr>
                <w:rFonts w:ascii="Arial" w:hAnsi="Arial" w:cs="Arial"/>
                <w:color w:val="000000"/>
              </w:rPr>
            </w:pPr>
            <w:r>
              <w:rPr>
                <w:rFonts w:ascii="Arial" w:hAnsi="Arial" w:cs="Arial"/>
                <w:color w:val="000000"/>
              </w:rPr>
              <w:t>-0.299750701</w:t>
            </w:r>
          </w:p>
        </w:tc>
        <w:tc>
          <w:tcPr>
            <w:tcW w:w="1701" w:type="dxa"/>
            <w:vAlign w:val="bottom"/>
          </w:tcPr>
          <w:p w:rsidR="000C075A" w:rsidRDefault="000C075A" w:rsidP="00EF4AE9">
            <w:pPr>
              <w:rPr>
                <w:rFonts w:ascii="Arial" w:hAnsi="Arial" w:cs="Arial"/>
                <w:color w:val="000000"/>
              </w:rPr>
            </w:pPr>
            <w:r>
              <w:rPr>
                <w:rFonts w:ascii="Arial" w:hAnsi="Arial" w:cs="Arial"/>
                <w:color w:val="000000"/>
              </w:rPr>
              <w:t>-0.3628</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1973</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0.024003</w:t>
            </w:r>
          </w:p>
        </w:tc>
        <w:tc>
          <w:tcPr>
            <w:tcW w:w="1701" w:type="dxa"/>
            <w:vAlign w:val="bottom"/>
          </w:tcPr>
          <w:p w:rsidR="000C075A" w:rsidRDefault="000C075A" w:rsidP="00EF4AE9">
            <w:pPr>
              <w:rPr>
                <w:rFonts w:ascii="Arial" w:hAnsi="Arial" w:cs="Arial"/>
                <w:color w:val="000000"/>
              </w:rPr>
            </w:pPr>
            <w:r>
              <w:rPr>
                <w:rFonts w:ascii="Arial" w:hAnsi="Arial" w:cs="Arial"/>
                <w:color w:val="000000"/>
              </w:rPr>
              <w:t>0.106293</w:t>
            </w:r>
          </w:p>
        </w:tc>
        <w:tc>
          <w:tcPr>
            <w:tcW w:w="1701" w:type="dxa"/>
            <w:vAlign w:val="bottom"/>
          </w:tcPr>
          <w:p w:rsidR="000C075A" w:rsidRDefault="000C075A" w:rsidP="00EF4AE9">
            <w:pPr>
              <w:rPr>
                <w:rFonts w:ascii="Arial" w:hAnsi="Arial" w:cs="Arial"/>
                <w:color w:val="000000"/>
              </w:rPr>
            </w:pPr>
            <w:r>
              <w:rPr>
                <w:rFonts w:ascii="Arial" w:hAnsi="Arial" w:cs="Arial"/>
                <w:color w:val="000000"/>
              </w:rPr>
              <w:t>0.125527512</w:t>
            </w:r>
          </w:p>
        </w:tc>
        <w:tc>
          <w:tcPr>
            <w:tcW w:w="1701" w:type="dxa"/>
            <w:vAlign w:val="bottom"/>
          </w:tcPr>
          <w:p w:rsidR="000C075A" w:rsidRDefault="000C075A" w:rsidP="00EF4AE9">
            <w:pPr>
              <w:rPr>
                <w:rFonts w:ascii="Arial" w:hAnsi="Arial" w:cs="Arial"/>
                <w:color w:val="000000"/>
              </w:rPr>
            </w:pPr>
            <w:r>
              <w:rPr>
                <w:rFonts w:ascii="Arial" w:hAnsi="Arial" w:cs="Arial"/>
                <w:color w:val="000000"/>
              </w:rPr>
              <w:t>-0.2978</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1974</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0.365075</w:t>
            </w:r>
          </w:p>
        </w:tc>
        <w:tc>
          <w:tcPr>
            <w:tcW w:w="1701" w:type="dxa"/>
            <w:vAlign w:val="bottom"/>
          </w:tcPr>
          <w:p w:rsidR="000C075A" w:rsidRDefault="000C075A" w:rsidP="00EF4AE9">
            <w:pPr>
              <w:rPr>
                <w:rFonts w:ascii="Arial" w:hAnsi="Arial" w:cs="Arial"/>
                <w:color w:val="000000"/>
              </w:rPr>
            </w:pPr>
            <w:r>
              <w:rPr>
                <w:rFonts w:ascii="Arial" w:hAnsi="Arial" w:cs="Arial"/>
                <w:color w:val="000000"/>
              </w:rPr>
              <w:t>0.403583</w:t>
            </w:r>
          </w:p>
        </w:tc>
        <w:tc>
          <w:tcPr>
            <w:tcW w:w="1701" w:type="dxa"/>
            <w:vAlign w:val="bottom"/>
          </w:tcPr>
          <w:p w:rsidR="000C075A" w:rsidRDefault="000C075A" w:rsidP="00EF4AE9">
            <w:pPr>
              <w:rPr>
                <w:rFonts w:ascii="Arial" w:hAnsi="Arial" w:cs="Arial"/>
                <w:color w:val="000000"/>
              </w:rPr>
            </w:pPr>
            <w:r>
              <w:rPr>
                <w:rFonts w:ascii="Arial" w:hAnsi="Arial" w:cs="Arial"/>
                <w:color w:val="000000"/>
              </w:rPr>
              <w:t>0.220766242</w:t>
            </w:r>
          </w:p>
        </w:tc>
        <w:tc>
          <w:tcPr>
            <w:tcW w:w="1701" w:type="dxa"/>
            <w:vAlign w:val="bottom"/>
          </w:tcPr>
          <w:p w:rsidR="000C075A" w:rsidRDefault="000C075A" w:rsidP="00EF4AE9">
            <w:pPr>
              <w:rPr>
                <w:rFonts w:ascii="Arial" w:hAnsi="Arial" w:cs="Arial"/>
                <w:color w:val="000000"/>
              </w:rPr>
            </w:pPr>
            <w:r>
              <w:rPr>
                <w:rFonts w:ascii="Arial" w:hAnsi="Arial" w:cs="Arial"/>
                <w:color w:val="000000"/>
              </w:rPr>
              <w:t>0.0447</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1975</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-0.12953</w:t>
            </w:r>
          </w:p>
        </w:tc>
        <w:tc>
          <w:tcPr>
            <w:tcW w:w="1701" w:type="dxa"/>
            <w:vAlign w:val="bottom"/>
          </w:tcPr>
          <w:p w:rsidR="000C075A" w:rsidRDefault="000C075A" w:rsidP="00EF4AE9">
            <w:pPr>
              <w:rPr>
                <w:rFonts w:ascii="Arial" w:hAnsi="Arial" w:cs="Arial"/>
                <w:color w:val="000000"/>
              </w:rPr>
            </w:pPr>
            <w:r>
              <w:rPr>
                <w:rFonts w:ascii="Arial" w:hAnsi="Arial" w:cs="Arial"/>
                <w:color w:val="000000"/>
              </w:rPr>
              <w:t>0.019713</w:t>
            </w:r>
          </w:p>
        </w:tc>
        <w:tc>
          <w:tcPr>
            <w:tcW w:w="1701" w:type="dxa"/>
            <w:vAlign w:val="bottom"/>
          </w:tcPr>
          <w:p w:rsidR="000C075A" w:rsidRDefault="000C075A" w:rsidP="00EF4AE9">
            <w:pPr>
              <w:rPr>
                <w:rFonts w:ascii="Arial" w:hAnsi="Arial" w:cs="Arial"/>
                <w:color w:val="000000"/>
              </w:rPr>
            </w:pPr>
            <w:r>
              <w:rPr>
                <w:rFonts w:ascii="Arial" w:hAnsi="Arial" w:cs="Arial"/>
                <w:color w:val="000000"/>
              </w:rPr>
              <w:t>-0.051094975</w:t>
            </w:r>
          </w:p>
        </w:tc>
        <w:tc>
          <w:tcPr>
            <w:tcW w:w="1701" w:type="dxa"/>
            <w:vAlign w:val="bottom"/>
          </w:tcPr>
          <w:p w:rsidR="000C075A" w:rsidRDefault="000C075A" w:rsidP="00EF4AE9">
            <w:pPr>
              <w:rPr>
                <w:rFonts w:ascii="Arial" w:hAnsi="Arial" w:cs="Arial"/>
                <w:color w:val="000000"/>
              </w:rPr>
            </w:pPr>
            <w:r>
              <w:rPr>
                <w:rFonts w:ascii="Arial" w:hAnsi="Arial" w:cs="Arial"/>
                <w:color w:val="000000"/>
              </w:rPr>
              <w:t>0.3639</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1976</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-0.14541</w:t>
            </w:r>
          </w:p>
        </w:tc>
        <w:tc>
          <w:tcPr>
            <w:tcW w:w="1701" w:type="dxa"/>
            <w:vAlign w:val="bottom"/>
          </w:tcPr>
          <w:p w:rsidR="000C075A" w:rsidRDefault="000C075A" w:rsidP="00EF4AE9">
            <w:pPr>
              <w:rPr>
                <w:rFonts w:ascii="Arial" w:hAnsi="Arial" w:cs="Arial"/>
                <w:color w:val="000000"/>
              </w:rPr>
            </w:pPr>
            <w:r>
              <w:rPr>
                <w:rFonts w:ascii="Arial" w:hAnsi="Arial" w:cs="Arial"/>
                <w:color w:val="000000"/>
              </w:rPr>
              <w:t>0.018983</w:t>
            </w:r>
          </w:p>
        </w:tc>
        <w:tc>
          <w:tcPr>
            <w:tcW w:w="1701" w:type="dxa"/>
            <w:vAlign w:val="bottom"/>
          </w:tcPr>
          <w:p w:rsidR="000C075A" w:rsidRDefault="000C075A" w:rsidP="00EF4AE9">
            <w:pPr>
              <w:rPr>
                <w:rFonts w:ascii="Arial" w:hAnsi="Arial" w:cs="Arial"/>
                <w:color w:val="000000"/>
              </w:rPr>
            </w:pPr>
            <w:r>
              <w:rPr>
                <w:rFonts w:ascii="Arial" w:hAnsi="Arial" w:cs="Arial"/>
                <w:color w:val="000000"/>
              </w:rPr>
              <w:t>-0.089970182</w:t>
            </w:r>
          </w:p>
        </w:tc>
        <w:tc>
          <w:tcPr>
            <w:tcW w:w="1701" w:type="dxa"/>
            <w:vAlign w:val="bottom"/>
          </w:tcPr>
          <w:p w:rsidR="000C075A" w:rsidRDefault="000C075A" w:rsidP="00EF4AE9">
            <w:pPr>
              <w:rPr>
                <w:rFonts w:ascii="Arial" w:hAnsi="Arial" w:cs="Arial"/>
                <w:color w:val="000000"/>
              </w:rPr>
            </w:pPr>
            <w:r>
              <w:rPr>
                <w:rFonts w:ascii="Arial" w:hAnsi="Arial" w:cs="Arial"/>
                <w:color w:val="000000"/>
              </w:rPr>
              <w:t>-0.1014</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1977</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-0.3331</w:t>
            </w:r>
          </w:p>
        </w:tc>
        <w:tc>
          <w:tcPr>
            <w:tcW w:w="1701" w:type="dxa"/>
            <w:vAlign w:val="bottom"/>
          </w:tcPr>
          <w:p w:rsidR="000C075A" w:rsidRDefault="000C075A" w:rsidP="00EF4AE9">
            <w:pPr>
              <w:rPr>
                <w:rFonts w:ascii="Arial" w:hAnsi="Arial" w:cs="Arial"/>
                <w:color w:val="000000"/>
              </w:rPr>
            </w:pPr>
            <w:r>
              <w:rPr>
                <w:rFonts w:ascii="Arial" w:hAnsi="Arial" w:cs="Arial"/>
                <w:color w:val="000000"/>
              </w:rPr>
              <w:t>-0.37145</w:t>
            </w:r>
          </w:p>
        </w:tc>
        <w:tc>
          <w:tcPr>
            <w:tcW w:w="1701" w:type="dxa"/>
            <w:vAlign w:val="bottom"/>
          </w:tcPr>
          <w:p w:rsidR="000C075A" w:rsidRDefault="000C075A" w:rsidP="00EF4AE9">
            <w:pPr>
              <w:rPr>
                <w:rFonts w:ascii="Arial" w:hAnsi="Arial" w:cs="Arial"/>
                <w:color w:val="000000"/>
              </w:rPr>
            </w:pPr>
            <w:r>
              <w:rPr>
                <w:rFonts w:ascii="Arial" w:hAnsi="Arial" w:cs="Arial"/>
                <w:color w:val="000000"/>
              </w:rPr>
              <w:t>-0.208460356</w:t>
            </w:r>
          </w:p>
        </w:tc>
        <w:tc>
          <w:tcPr>
            <w:tcW w:w="1701" w:type="dxa"/>
            <w:vAlign w:val="bottom"/>
          </w:tcPr>
          <w:p w:rsidR="000C075A" w:rsidRDefault="000C075A" w:rsidP="00EF4AE9">
            <w:pPr>
              <w:rPr>
                <w:rFonts w:ascii="Arial" w:hAnsi="Arial" w:cs="Arial"/>
                <w:color w:val="000000"/>
              </w:rPr>
            </w:pPr>
            <w:r>
              <w:rPr>
                <w:rFonts w:ascii="Arial" w:hAnsi="Arial" w:cs="Arial"/>
                <w:color w:val="000000"/>
              </w:rPr>
              <w:t>-0.1775</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1978</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-0.43876</w:t>
            </w:r>
          </w:p>
        </w:tc>
        <w:tc>
          <w:tcPr>
            <w:tcW w:w="1701" w:type="dxa"/>
            <w:vAlign w:val="bottom"/>
          </w:tcPr>
          <w:p w:rsidR="000C075A" w:rsidRDefault="000C075A" w:rsidP="00EF4AE9">
            <w:pPr>
              <w:rPr>
                <w:rFonts w:ascii="Arial" w:hAnsi="Arial" w:cs="Arial"/>
                <w:color w:val="000000"/>
              </w:rPr>
            </w:pPr>
            <w:r>
              <w:rPr>
                <w:rFonts w:ascii="Arial" w:hAnsi="Arial" w:cs="Arial"/>
                <w:color w:val="000000"/>
              </w:rPr>
              <w:t>-0.48665</w:t>
            </w:r>
          </w:p>
        </w:tc>
        <w:tc>
          <w:tcPr>
            <w:tcW w:w="1701" w:type="dxa"/>
            <w:vAlign w:val="bottom"/>
          </w:tcPr>
          <w:p w:rsidR="000C075A" w:rsidRDefault="000C075A" w:rsidP="00EF4AE9">
            <w:pPr>
              <w:rPr>
                <w:rFonts w:ascii="Arial" w:hAnsi="Arial" w:cs="Arial"/>
                <w:color w:val="000000"/>
              </w:rPr>
            </w:pPr>
            <w:r>
              <w:rPr>
                <w:rFonts w:ascii="Arial" w:hAnsi="Arial" w:cs="Arial"/>
                <w:color w:val="000000"/>
              </w:rPr>
              <w:t>-0.355793285</w:t>
            </w:r>
          </w:p>
        </w:tc>
        <w:tc>
          <w:tcPr>
            <w:tcW w:w="1701" w:type="dxa"/>
            <w:vAlign w:val="bottom"/>
          </w:tcPr>
          <w:p w:rsidR="000C075A" w:rsidRDefault="000C075A" w:rsidP="00EF4AE9">
            <w:pPr>
              <w:rPr>
                <w:rFonts w:ascii="Arial" w:hAnsi="Arial" w:cs="Arial"/>
                <w:color w:val="000000"/>
              </w:rPr>
            </w:pPr>
            <w:r>
              <w:rPr>
                <w:rFonts w:ascii="Arial" w:hAnsi="Arial" w:cs="Arial"/>
                <w:color w:val="000000"/>
              </w:rPr>
              <w:t>-0.2962</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1979</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0.474524</w:t>
            </w:r>
          </w:p>
        </w:tc>
        <w:tc>
          <w:tcPr>
            <w:tcW w:w="1701" w:type="dxa"/>
            <w:vAlign w:val="bottom"/>
          </w:tcPr>
          <w:p w:rsidR="000C075A" w:rsidRDefault="000C075A" w:rsidP="00EF4AE9">
            <w:pPr>
              <w:rPr>
                <w:rFonts w:ascii="Arial" w:hAnsi="Arial" w:cs="Arial"/>
                <w:color w:val="000000"/>
              </w:rPr>
            </w:pPr>
            <w:r>
              <w:rPr>
                <w:rFonts w:ascii="Arial" w:hAnsi="Arial" w:cs="Arial"/>
                <w:color w:val="000000"/>
              </w:rPr>
              <w:t>0.474526</w:t>
            </w:r>
          </w:p>
        </w:tc>
        <w:tc>
          <w:tcPr>
            <w:tcW w:w="1701" w:type="dxa"/>
            <w:vAlign w:val="bottom"/>
          </w:tcPr>
          <w:p w:rsidR="000C075A" w:rsidRDefault="000C075A" w:rsidP="00EF4AE9">
            <w:pPr>
              <w:rPr>
                <w:rFonts w:ascii="Arial" w:hAnsi="Arial" w:cs="Arial"/>
                <w:color w:val="000000"/>
              </w:rPr>
            </w:pPr>
            <w:r>
              <w:rPr>
                <w:rFonts w:ascii="Arial" w:hAnsi="Arial" w:cs="Arial"/>
                <w:color w:val="000000"/>
              </w:rPr>
              <w:t>0.293228128</w:t>
            </w:r>
          </w:p>
        </w:tc>
        <w:tc>
          <w:tcPr>
            <w:tcW w:w="1701" w:type="dxa"/>
            <w:vAlign w:val="bottom"/>
          </w:tcPr>
          <w:p w:rsidR="000C075A" w:rsidRDefault="000C075A" w:rsidP="00EF4AE9">
            <w:pPr>
              <w:rPr>
                <w:rFonts w:ascii="Arial" w:hAnsi="Arial" w:cs="Arial"/>
                <w:color w:val="000000"/>
              </w:rPr>
            </w:pPr>
            <w:r>
              <w:rPr>
                <w:rFonts w:ascii="Arial" w:hAnsi="Arial" w:cs="Arial"/>
                <w:color w:val="000000"/>
              </w:rPr>
              <w:t>-0.4353</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1980</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0.197942</w:t>
            </w:r>
          </w:p>
        </w:tc>
        <w:tc>
          <w:tcPr>
            <w:tcW w:w="1701" w:type="dxa"/>
            <w:vAlign w:val="bottom"/>
          </w:tcPr>
          <w:p w:rsidR="000C075A" w:rsidRDefault="000C075A" w:rsidP="00EF4AE9">
            <w:pPr>
              <w:rPr>
                <w:rFonts w:ascii="Arial" w:hAnsi="Arial" w:cs="Arial"/>
                <w:color w:val="000000"/>
              </w:rPr>
            </w:pPr>
            <w:r>
              <w:rPr>
                <w:rFonts w:ascii="Arial" w:hAnsi="Arial" w:cs="Arial"/>
                <w:color w:val="000000"/>
              </w:rPr>
              <w:t>0.117045</w:t>
            </w:r>
          </w:p>
        </w:tc>
        <w:tc>
          <w:tcPr>
            <w:tcW w:w="1701" w:type="dxa"/>
            <w:vAlign w:val="bottom"/>
          </w:tcPr>
          <w:p w:rsidR="000C075A" w:rsidRDefault="000C075A" w:rsidP="00EF4AE9">
            <w:pPr>
              <w:rPr>
                <w:rFonts w:ascii="Arial" w:hAnsi="Arial" w:cs="Arial"/>
                <w:color w:val="000000"/>
              </w:rPr>
            </w:pPr>
            <w:r>
              <w:rPr>
                <w:rFonts w:ascii="Arial" w:hAnsi="Arial" w:cs="Arial"/>
                <w:color w:val="000000"/>
              </w:rPr>
              <w:t>-0.205420634</w:t>
            </w:r>
          </w:p>
        </w:tc>
        <w:tc>
          <w:tcPr>
            <w:tcW w:w="1701" w:type="dxa"/>
            <w:vAlign w:val="bottom"/>
          </w:tcPr>
          <w:p w:rsidR="000C075A" w:rsidRDefault="000C075A" w:rsidP="00EF4AE9">
            <w:pPr>
              <w:rPr>
                <w:rFonts w:ascii="Arial" w:hAnsi="Arial" w:cs="Arial"/>
                <w:color w:val="000000"/>
              </w:rPr>
            </w:pPr>
            <w:r>
              <w:rPr>
                <w:rFonts w:ascii="Arial" w:hAnsi="Arial" w:cs="Arial"/>
                <w:color w:val="000000"/>
              </w:rPr>
              <w:t>0.4749</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1981</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-0.12846</w:t>
            </w:r>
          </w:p>
        </w:tc>
        <w:tc>
          <w:tcPr>
            <w:tcW w:w="1701" w:type="dxa"/>
            <w:vAlign w:val="bottom"/>
          </w:tcPr>
          <w:p w:rsidR="000C075A" w:rsidRDefault="000C075A" w:rsidP="00EF4AE9">
            <w:pPr>
              <w:rPr>
                <w:rFonts w:ascii="Arial" w:hAnsi="Arial" w:cs="Arial"/>
                <w:color w:val="000000"/>
              </w:rPr>
            </w:pPr>
            <w:r>
              <w:rPr>
                <w:rFonts w:ascii="Arial" w:hAnsi="Arial" w:cs="Arial"/>
                <w:color w:val="000000"/>
              </w:rPr>
              <w:t>-0.05607</w:t>
            </w:r>
          </w:p>
        </w:tc>
        <w:tc>
          <w:tcPr>
            <w:tcW w:w="1701" w:type="dxa"/>
            <w:vAlign w:val="bottom"/>
          </w:tcPr>
          <w:p w:rsidR="000C075A" w:rsidRDefault="000C075A" w:rsidP="00EF4AE9">
            <w:pPr>
              <w:rPr>
                <w:rFonts w:ascii="Arial" w:hAnsi="Arial" w:cs="Arial"/>
                <w:color w:val="000000"/>
              </w:rPr>
            </w:pPr>
            <w:r>
              <w:rPr>
                <w:rFonts w:ascii="Arial" w:hAnsi="Arial" w:cs="Arial"/>
                <w:color w:val="000000"/>
              </w:rPr>
              <w:t>0.161700387</w:t>
            </w:r>
          </w:p>
        </w:tc>
        <w:tc>
          <w:tcPr>
            <w:tcW w:w="1701" w:type="dxa"/>
            <w:vAlign w:val="bottom"/>
          </w:tcPr>
          <w:p w:rsidR="000C075A" w:rsidRDefault="000C075A" w:rsidP="00EF4AE9">
            <w:pPr>
              <w:rPr>
                <w:rFonts w:ascii="Arial" w:hAnsi="Arial" w:cs="Arial"/>
                <w:color w:val="000000"/>
              </w:rPr>
            </w:pPr>
            <w:r>
              <w:rPr>
                <w:rFonts w:ascii="Arial" w:hAnsi="Arial" w:cs="Arial"/>
                <w:color w:val="000000"/>
              </w:rPr>
              <w:t>0.2988</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1982</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0.218458</w:t>
            </w:r>
          </w:p>
        </w:tc>
        <w:tc>
          <w:tcPr>
            <w:tcW w:w="1701" w:type="dxa"/>
            <w:vAlign w:val="bottom"/>
          </w:tcPr>
          <w:p w:rsidR="000C075A" w:rsidRDefault="000C075A" w:rsidP="00EF4AE9">
            <w:pPr>
              <w:rPr>
                <w:rFonts w:ascii="Arial" w:hAnsi="Arial" w:cs="Arial"/>
                <w:color w:val="000000"/>
              </w:rPr>
            </w:pPr>
            <w:r>
              <w:rPr>
                <w:rFonts w:ascii="Arial" w:hAnsi="Arial" w:cs="Arial"/>
                <w:color w:val="000000"/>
              </w:rPr>
              <w:t>0.204745</w:t>
            </w:r>
          </w:p>
        </w:tc>
        <w:tc>
          <w:tcPr>
            <w:tcW w:w="1701" w:type="dxa"/>
            <w:vAlign w:val="bottom"/>
          </w:tcPr>
          <w:p w:rsidR="000C075A" w:rsidRDefault="000C075A" w:rsidP="00EF4AE9">
            <w:pPr>
              <w:rPr>
                <w:rFonts w:ascii="Arial" w:hAnsi="Arial" w:cs="Arial"/>
                <w:color w:val="000000"/>
              </w:rPr>
            </w:pPr>
            <w:r>
              <w:rPr>
                <w:rFonts w:ascii="Arial" w:hAnsi="Arial" w:cs="Arial"/>
                <w:color w:val="000000"/>
              </w:rPr>
              <w:t>0.0896831</w:t>
            </w:r>
          </w:p>
        </w:tc>
        <w:tc>
          <w:tcPr>
            <w:tcW w:w="1701" w:type="dxa"/>
            <w:vAlign w:val="bottom"/>
          </w:tcPr>
          <w:p w:rsidR="000C075A" w:rsidRDefault="000C075A" w:rsidP="00EF4AE9">
            <w:pPr>
              <w:rPr>
                <w:rFonts w:ascii="Arial" w:hAnsi="Arial" w:cs="Arial"/>
                <w:color w:val="000000"/>
              </w:rPr>
            </w:pPr>
            <w:r>
              <w:rPr>
                <w:rFonts w:ascii="Arial" w:hAnsi="Arial" w:cs="Arial"/>
                <w:color w:val="000000"/>
              </w:rPr>
              <w:t>-0.0912</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1983</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-0.04956</w:t>
            </w:r>
          </w:p>
        </w:tc>
        <w:tc>
          <w:tcPr>
            <w:tcW w:w="1701" w:type="dxa"/>
            <w:vAlign w:val="bottom"/>
          </w:tcPr>
          <w:p w:rsidR="000C075A" w:rsidRDefault="000C075A" w:rsidP="00EF4AE9">
            <w:pPr>
              <w:rPr>
                <w:rFonts w:ascii="Arial" w:hAnsi="Arial" w:cs="Arial"/>
                <w:color w:val="000000"/>
              </w:rPr>
            </w:pPr>
            <w:r>
              <w:rPr>
                <w:rFonts w:ascii="Arial" w:hAnsi="Arial" w:cs="Arial"/>
                <w:color w:val="000000"/>
              </w:rPr>
              <w:t>0.165202</w:t>
            </w:r>
          </w:p>
        </w:tc>
        <w:tc>
          <w:tcPr>
            <w:tcW w:w="1701" w:type="dxa"/>
            <w:vAlign w:val="bottom"/>
          </w:tcPr>
          <w:p w:rsidR="000C075A" w:rsidRDefault="000C075A" w:rsidP="00EF4AE9">
            <w:pPr>
              <w:rPr>
                <w:rFonts w:ascii="Arial" w:hAnsi="Arial" w:cs="Arial"/>
                <w:color w:val="000000"/>
              </w:rPr>
            </w:pPr>
            <w:r>
              <w:rPr>
                <w:rFonts w:ascii="Arial" w:hAnsi="Arial" w:cs="Arial"/>
                <w:color w:val="000000"/>
              </w:rPr>
              <w:t>0.165534214</w:t>
            </w:r>
          </w:p>
        </w:tc>
        <w:tc>
          <w:tcPr>
            <w:tcW w:w="1701" w:type="dxa"/>
            <w:vAlign w:val="bottom"/>
          </w:tcPr>
          <w:p w:rsidR="000C075A" w:rsidRDefault="000C075A" w:rsidP="00EF4AE9">
            <w:pPr>
              <w:rPr>
                <w:rFonts w:ascii="Arial" w:hAnsi="Arial" w:cs="Arial"/>
                <w:color w:val="000000"/>
              </w:rPr>
            </w:pPr>
            <w:r>
              <w:rPr>
                <w:rFonts w:ascii="Arial" w:hAnsi="Arial" w:cs="Arial"/>
                <w:color w:val="000000"/>
              </w:rPr>
              <w:t>0.2339</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1984</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-0.10132</w:t>
            </w:r>
          </w:p>
        </w:tc>
        <w:tc>
          <w:tcPr>
            <w:tcW w:w="1701" w:type="dxa"/>
            <w:vAlign w:val="bottom"/>
          </w:tcPr>
          <w:p w:rsidR="000C075A" w:rsidRDefault="000C075A" w:rsidP="00EF4AE9">
            <w:pPr>
              <w:rPr>
                <w:rFonts w:ascii="Arial" w:hAnsi="Arial" w:cs="Arial"/>
                <w:color w:val="000000"/>
              </w:rPr>
            </w:pPr>
            <w:r>
              <w:rPr>
                <w:rFonts w:ascii="Arial" w:hAnsi="Arial" w:cs="Arial"/>
                <w:color w:val="000000"/>
              </w:rPr>
              <w:t>0.237246</w:t>
            </w:r>
          </w:p>
        </w:tc>
        <w:tc>
          <w:tcPr>
            <w:tcW w:w="1701" w:type="dxa"/>
            <w:vAlign w:val="bottom"/>
          </w:tcPr>
          <w:p w:rsidR="000C075A" w:rsidRDefault="000C075A" w:rsidP="00EF4AE9">
            <w:pPr>
              <w:rPr>
                <w:rFonts w:ascii="Arial" w:hAnsi="Arial" w:cs="Arial"/>
                <w:color w:val="000000"/>
              </w:rPr>
            </w:pPr>
            <w:r>
              <w:rPr>
                <w:rFonts w:ascii="Arial" w:hAnsi="Arial" w:cs="Arial"/>
                <w:color w:val="000000"/>
              </w:rPr>
              <w:t>0.017442051</w:t>
            </w:r>
          </w:p>
        </w:tc>
        <w:tc>
          <w:tcPr>
            <w:tcW w:w="1701" w:type="dxa"/>
            <w:vAlign w:val="bottom"/>
          </w:tcPr>
          <w:p w:rsidR="000C075A" w:rsidRDefault="000C075A" w:rsidP="00EF4AE9">
            <w:pPr>
              <w:rPr>
                <w:rFonts w:ascii="Arial" w:hAnsi="Arial" w:cs="Arial"/>
                <w:color w:val="000000"/>
              </w:rPr>
            </w:pPr>
            <w:r>
              <w:rPr>
                <w:rFonts w:ascii="Arial" w:hAnsi="Arial" w:cs="Arial"/>
                <w:color w:val="000000"/>
              </w:rPr>
              <w:t>0.1794</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1985</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-0.05788</w:t>
            </w:r>
          </w:p>
        </w:tc>
        <w:tc>
          <w:tcPr>
            <w:tcW w:w="1701" w:type="dxa"/>
            <w:vAlign w:val="bottom"/>
          </w:tcPr>
          <w:p w:rsidR="000C075A" w:rsidRDefault="000C075A" w:rsidP="00EF4AE9">
            <w:pPr>
              <w:rPr>
                <w:rFonts w:ascii="Arial" w:hAnsi="Arial" w:cs="Arial"/>
                <w:color w:val="000000"/>
              </w:rPr>
            </w:pPr>
            <w:r>
              <w:rPr>
                <w:rFonts w:ascii="Arial" w:hAnsi="Arial" w:cs="Arial"/>
                <w:color w:val="000000"/>
              </w:rPr>
              <w:t>-0.05162</w:t>
            </w:r>
          </w:p>
        </w:tc>
        <w:tc>
          <w:tcPr>
            <w:tcW w:w="1701" w:type="dxa"/>
            <w:vAlign w:val="bottom"/>
          </w:tcPr>
          <w:p w:rsidR="000C075A" w:rsidRDefault="000C075A" w:rsidP="00EF4AE9">
            <w:pPr>
              <w:rPr>
                <w:rFonts w:ascii="Arial" w:hAnsi="Arial" w:cs="Arial"/>
                <w:color w:val="000000"/>
              </w:rPr>
            </w:pPr>
            <w:r>
              <w:rPr>
                <w:rFonts w:ascii="Arial" w:hAnsi="Arial" w:cs="Arial"/>
                <w:color w:val="000000"/>
              </w:rPr>
              <w:t>-0.043903915</w:t>
            </w:r>
          </w:p>
        </w:tc>
        <w:tc>
          <w:tcPr>
            <w:tcW w:w="1701" w:type="dxa"/>
            <w:vAlign w:val="bottom"/>
          </w:tcPr>
          <w:p w:rsidR="000C075A" w:rsidRDefault="000C075A" w:rsidP="00EF4AE9">
            <w:pPr>
              <w:rPr>
                <w:rFonts w:ascii="Arial" w:hAnsi="Arial" w:cs="Arial"/>
                <w:color w:val="000000"/>
              </w:rPr>
            </w:pPr>
            <w:r>
              <w:rPr>
                <w:rFonts w:ascii="Arial" w:hAnsi="Arial" w:cs="Arial"/>
                <w:color w:val="000000"/>
              </w:rPr>
              <w:t>-0.125</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1986</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0.221795</w:t>
            </w:r>
          </w:p>
        </w:tc>
        <w:tc>
          <w:tcPr>
            <w:tcW w:w="1701" w:type="dxa"/>
            <w:vAlign w:val="bottom"/>
          </w:tcPr>
          <w:p w:rsidR="000C075A" w:rsidRDefault="000C075A" w:rsidP="00EF4AE9">
            <w:pPr>
              <w:rPr>
                <w:rFonts w:ascii="Arial" w:hAnsi="Arial" w:cs="Arial"/>
                <w:color w:val="000000"/>
              </w:rPr>
            </w:pPr>
            <w:r>
              <w:rPr>
                <w:rFonts w:ascii="Arial" w:hAnsi="Arial" w:cs="Arial"/>
                <w:color w:val="000000"/>
              </w:rPr>
              <w:t>0.164954</w:t>
            </w:r>
          </w:p>
        </w:tc>
        <w:tc>
          <w:tcPr>
            <w:tcW w:w="1701" w:type="dxa"/>
            <w:vAlign w:val="bottom"/>
          </w:tcPr>
          <w:p w:rsidR="000C075A" w:rsidRDefault="000C075A" w:rsidP="00EF4AE9">
            <w:pPr>
              <w:rPr>
                <w:rFonts w:ascii="Arial" w:hAnsi="Arial" w:cs="Arial"/>
                <w:color w:val="000000"/>
              </w:rPr>
            </w:pPr>
            <w:r>
              <w:rPr>
                <w:rFonts w:ascii="Arial" w:hAnsi="Arial" w:cs="Arial"/>
                <w:color w:val="000000"/>
              </w:rPr>
              <w:t>0.167986205</w:t>
            </w:r>
          </w:p>
        </w:tc>
        <w:tc>
          <w:tcPr>
            <w:tcW w:w="1701" w:type="dxa"/>
            <w:vAlign w:val="bottom"/>
          </w:tcPr>
          <w:p w:rsidR="000C075A" w:rsidRDefault="000C075A" w:rsidP="00EF4AE9">
            <w:pPr>
              <w:rPr>
                <w:rFonts w:ascii="Arial" w:hAnsi="Arial" w:cs="Arial"/>
                <w:color w:val="000000"/>
              </w:rPr>
            </w:pPr>
            <w:r>
              <w:rPr>
                <w:rFonts w:ascii="Arial" w:hAnsi="Arial" w:cs="Arial"/>
                <w:color w:val="000000"/>
              </w:rPr>
              <w:t>-0.1443</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1987</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0.24559</w:t>
            </w:r>
          </w:p>
        </w:tc>
        <w:tc>
          <w:tcPr>
            <w:tcW w:w="1701" w:type="dxa"/>
            <w:vAlign w:val="bottom"/>
          </w:tcPr>
          <w:p w:rsidR="000C075A" w:rsidRDefault="000C075A" w:rsidP="00EF4AE9">
            <w:pPr>
              <w:rPr>
                <w:rFonts w:ascii="Arial" w:hAnsi="Arial" w:cs="Arial"/>
                <w:color w:val="000000"/>
              </w:rPr>
            </w:pPr>
            <w:r>
              <w:rPr>
                <w:rFonts w:ascii="Arial" w:hAnsi="Arial" w:cs="Arial"/>
                <w:color w:val="000000"/>
              </w:rPr>
              <w:t>0.077114</w:t>
            </w:r>
          </w:p>
        </w:tc>
        <w:tc>
          <w:tcPr>
            <w:tcW w:w="1701" w:type="dxa"/>
            <w:vAlign w:val="bottom"/>
          </w:tcPr>
          <w:p w:rsidR="000C075A" w:rsidRDefault="000C075A" w:rsidP="00EF4AE9">
            <w:pPr>
              <w:rPr>
                <w:rFonts w:ascii="Arial" w:hAnsi="Arial" w:cs="Arial"/>
                <w:color w:val="000000"/>
              </w:rPr>
            </w:pPr>
            <w:r>
              <w:rPr>
                <w:rFonts w:ascii="Arial" w:hAnsi="Arial" w:cs="Arial"/>
                <w:color w:val="000000"/>
              </w:rPr>
              <w:t>0.137083573</w:t>
            </w:r>
          </w:p>
        </w:tc>
        <w:tc>
          <w:tcPr>
            <w:tcW w:w="1701" w:type="dxa"/>
            <w:vAlign w:val="bottom"/>
          </w:tcPr>
          <w:p w:rsidR="000C075A" w:rsidRDefault="000C075A" w:rsidP="00EF4AE9">
            <w:pPr>
              <w:rPr>
                <w:rFonts w:ascii="Arial" w:hAnsi="Arial" w:cs="Arial"/>
                <w:color w:val="000000"/>
              </w:rPr>
            </w:pPr>
            <w:r>
              <w:rPr>
                <w:rFonts w:ascii="Arial" w:hAnsi="Arial" w:cs="Arial"/>
                <w:color w:val="000000"/>
              </w:rPr>
              <w:t>0.0652</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1988</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0.056456</w:t>
            </w:r>
          </w:p>
        </w:tc>
        <w:tc>
          <w:tcPr>
            <w:tcW w:w="1701" w:type="dxa"/>
            <w:vAlign w:val="bottom"/>
          </w:tcPr>
          <w:p w:rsidR="000C075A" w:rsidRDefault="000C075A" w:rsidP="00EF4AE9">
            <w:pPr>
              <w:rPr>
                <w:rFonts w:ascii="Arial" w:hAnsi="Arial" w:cs="Arial"/>
                <w:color w:val="000000"/>
              </w:rPr>
            </w:pPr>
            <w:r>
              <w:rPr>
                <w:rFonts w:ascii="Arial" w:hAnsi="Arial" w:cs="Arial"/>
                <w:color w:val="000000"/>
              </w:rPr>
              <w:t>-0.02271</w:t>
            </w:r>
          </w:p>
        </w:tc>
        <w:tc>
          <w:tcPr>
            <w:tcW w:w="1701" w:type="dxa"/>
            <w:vAlign w:val="bottom"/>
          </w:tcPr>
          <w:p w:rsidR="000C075A" w:rsidRDefault="000C075A" w:rsidP="00EF4AE9">
            <w:pPr>
              <w:rPr>
                <w:rFonts w:ascii="Arial" w:hAnsi="Arial" w:cs="Arial"/>
                <w:color w:val="000000"/>
              </w:rPr>
            </w:pPr>
            <w:r>
              <w:rPr>
                <w:rFonts w:ascii="Arial" w:hAnsi="Arial" w:cs="Arial"/>
                <w:color w:val="000000"/>
              </w:rPr>
              <w:t>0.180109442</w:t>
            </w:r>
          </w:p>
        </w:tc>
        <w:tc>
          <w:tcPr>
            <w:tcW w:w="1701" w:type="dxa"/>
            <w:vAlign w:val="bottom"/>
          </w:tcPr>
          <w:p w:rsidR="000C075A" w:rsidRDefault="000C075A" w:rsidP="00EF4AE9">
            <w:pPr>
              <w:rPr>
                <w:rFonts w:ascii="Arial" w:hAnsi="Arial" w:cs="Arial"/>
                <w:color w:val="000000"/>
              </w:rPr>
            </w:pPr>
            <w:r>
              <w:rPr>
                <w:rFonts w:ascii="Arial" w:hAnsi="Arial" w:cs="Arial"/>
                <w:color w:val="000000"/>
              </w:rPr>
              <w:t>0.2022</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1989</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0.10579</w:t>
            </w:r>
          </w:p>
        </w:tc>
        <w:tc>
          <w:tcPr>
            <w:tcW w:w="1701" w:type="dxa"/>
            <w:vAlign w:val="bottom"/>
          </w:tcPr>
          <w:p w:rsidR="000C075A" w:rsidRDefault="000C075A" w:rsidP="00EF4AE9">
            <w:pPr>
              <w:rPr>
                <w:rFonts w:ascii="Arial" w:hAnsi="Arial" w:cs="Arial"/>
                <w:color w:val="000000"/>
              </w:rPr>
            </w:pPr>
            <w:r>
              <w:rPr>
                <w:rFonts w:ascii="Arial" w:hAnsi="Arial" w:cs="Arial"/>
                <w:color w:val="000000"/>
              </w:rPr>
              <w:t>0.185892</w:t>
            </w:r>
          </w:p>
        </w:tc>
        <w:tc>
          <w:tcPr>
            <w:tcW w:w="1701" w:type="dxa"/>
            <w:vAlign w:val="bottom"/>
          </w:tcPr>
          <w:p w:rsidR="000C075A" w:rsidRDefault="000C075A" w:rsidP="00EF4AE9">
            <w:pPr>
              <w:rPr>
                <w:rFonts w:ascii="Arial" w:hAnsi="Arial" w:cs="Arial"/>
                <w:color w:val="000000"/>
              </w:rPr>
            </w:pPr>
            <w:r>
              <w:rPr>
                <w:rFonts w:ascii="Arial" w:hAnsi="Arial" w:cs="Arial"/>
                <w:color w:val="000000"/>
              </w:rPr>
              <w:t>0.11366675</w:t>
            </w:r>
          </w:p>
        </w:tc>
        <w:tc>
          <w:tcPr>
            <w:tcW w:w="1701" w:type="dxa"/>
            <w:vAlign w:val="bottom"/>
          </w:tcPr>
          <w:p w:rsidR="000C075A" w:rsidRDefault="000C075A" w:rsidP="00EF4AE9">
            <w:pPr>
              <w:rPr>
                <w:rFonts w:ascii="Arial" w:hAnsi="Arial" w:cs="Arial"/>
                <w:color w:val="000000"/>
              </w:rPr>
            </w:pPr>
            <w:r>
              <w:rPr>
                <w:rFonts w:ascii="Arial" w:hAnsi="Arial" w:cs="Arial"/>
                <w:color w:val="000000"/>
              </w:rPr>
              <w:t>0.0471</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1990</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0.012565</w:t>
            </w:r>
          </w:p>
        </w:tc>
        <w:tc>
          <w:tcPr>
            <w:tcW w:w="1701" w:type="dxa"/>
            <w:vAlign w:val="bottom"/>
          </w:tcPr>
          <w:p w:rsidR="000C075A" w:rsidRDefault="000C075A" w:rsidP="00EF4AE9">
            <w:pPr>
              <w:rPr>
                <w:rFonts w:ascii="Arial" w:hAnsi="Arial" w:cs="Arial"/>
                <w:color w:val="000000"/>
              </w:rPr>
            </w:pPr>
            <w:r>
              <w:rPr>
                <w:rFonts w:ascii="Arial" w:hAnsi="Arial" w:cs="Arial"/>
                <w:color w:val="000000"/>
              </w:rPr>
              <w:t>0.137435</w:t>
            </w:r>
          </w:p>
        </w:tc>
        <w:tc>
          <w:tcPr>
            <w:tcW w:w="1701" w:type="dxa"/>
            <w:vAlign w:val="bottom"/>
          </w:tcPr>
          <w:p w:rsidR="000C075A" w:rsidRDefault="000C075A" w:rsidP="00EF4AE9">
            <w:pPr>
              <w:rPr>
                <w:rFonts w:ascii="Arial" w:hAnsi="Arial" w:cs="Arial"/>
                <w:color w:val="000000"/>
              </w:rPr>
            </w:pPr>
            <w:r>
              <w:rPr>
                <w:rFonts w:ascii="Arial" w:hAnsi="Arial" w:cs="Arial"/>
                <w:color w:val="000000"/>
              </w:rPr>
              <w:t>0.087315437</w:t>
            </w:r>
          </w:p>
        </w:tc>
        <w:tc>
          <w:tcPr>
            <w:tcW w:w="1701" w:type="dxa"/>
            <w:vAlign w:val="bottom"/>
          </w:tcPr>
          <w:p w:rsidR="000C075A" w:rsidRDefault="000C075A" w:rsidP="00EF4AE9">
            <w:pPr>
              <w:rPr>
                <w:rFonts w:ascii="Arial" w:hAnsi="Arial" w:cs="Arial"/>
                <w:color w:val="000000"/>
              </w:rPr>
            </w:pPr>
            <w:r>
              <w:rPr>
                <w:rFonts w:ascii="Arial" w:hAnsi="Arial" w:cs="Arial"/>
                <w:color w:val="000000"/>
              </w:rPr>
              <w:t>0.1037</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1991</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-0.10736</w:t>
            </w:r>
          </w:p>
        </w:tc>
        <w:tc>
          <w:tcPr>
            <w:tcW w:w="1701" w:type="dxa"/>
            <w:vAlign w:val="bottom"/>
          </w:tcPr>
          <w:p w:rsidR="000C075A" w:rsidRDefault="000C075A" w:rsidP="00EF4AE9">
            <w:pPr>
              <w:rPr>
                <w:rFonts w:ascii="Arial" w:hAnsi="Arial" w:cs="Arial"/>
                <w:color w:val="000000"/>
              </w:rPr>
            </w:pPr>
            <w:r>
              <w:rPr>
                <w:rFonts w:ascii="Arial" w:hAnsi="Arial" w:cs="Arial"/>
                <w:color w:val="000000"/>
              </w:rPr>
              <w:t>0.10232</w:t>
            </w:r>
          </w:p>
        </w:tc>
        <w:tc>
          <w:tcPr>
            <w:tcW w:w="1701" w:type="dxa"/>
            <w:vAlign w:val="bottom"/>
          </w:tcPr>
          <w:p w:rsidR="000C075A" w:rsidRDefault="000C075A" w:rsidP="00EF4AE9">
            <w:pPr>
              <w:rPr>
                <w:rFonts w:ascii="Arial" w:hAnsi="Arial" w:cs="Arial"/>
                <w:color w:val="000000"/>
              </w:rPr>
            </w:pPr>
            <w:r>
              <w:rPr>
                <w:rFonts w:ascii="Arial" w:hAnsi="Arial" w:cs="Arial"/>
                <w:color w:val="000000"/>
              </w:rPr>
              <w:t>-0.170346466</w:t>
            </w:r>
          </w:p>
        </w:tc>
        <w:tc>
          <w:tcPr>
            <w:tcW w:w="1701" w:type="dxa"/>
            <w:vAlign w:val="bottom"/>
          </w:tcPr>
          <w:p w:rsidR="000C075A" w:rsidRDefault="000C075A" w:rsidP="00EF4AE9">
            <w:pPr>
              <w:rPr>
                <w:rFonts w:ascii="Arial" w:hAnsi="Arial" w:cs="Arial"/>
                <w:color w:val="000000"/>
              </w:rPr>
            </w:pPr>
            <w:r>
              <w:rPr>
                <w:rFonts w:ascii="Arial" w:hAnsi="Arial" w:cs="Arial"/>
                <w:color w:val="000000"/>
              </w:rPr>
              <w:t>0.0849</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1992</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0.023317</w:t>
            </w:r>
          </w:p>
        </w:tc>
        <w:tc>
          <w:tcPr>
            <w:tcW w:w="1701" w:type="dxa"/>
            <w:vAlign w:val="bottom"/>
          </w:tcPr>
          <w:p w:rsidR="000C075A" w:rsidRDefault="000C075A" w:rsidP="00EF4AE9">
            <w:pPr>
              <w:rPr>
                <w:rFonts w:ascii="Arial" w:hAnsi="Arial" w:cs="Arial"/>
                <w:color w:val="000000"/>
              </w:rPr>
            </w:pPr>
            <w:r>
              <w:rPr>
                <w:rFonts w:ascii="Arial" w:hAnsi="Arial" w:cs="Arial"/>
                <w:color w:val="000000"/>
              </w:rPr>
              <w:t>0.033119</w:t>
            </w:r>
          </w:p>
        </w:tc>
        <w:tc>
          <w:tcPr>
            <w:tcW w:w="1701" w:type="dxa"/>
            <w:vAlign w:val="bottom"/>
          </w:tcPr>
          <w:p w:rsidR="000C075A" w:rsidRDefault="000C075A" w:rsidP="00EF4AE9">
            <w:pPr>
              <w:rPr>
                <w:rFonts w:ascii="Arial" w:hAnsi="Arial" w:cs="Arial"/>
                <w:color w:val="000000"/>
              </w:rPr>
            </w:pPr>
            <w:r>
              <w:rPr>
                <w:rFonts w:ascii="Arial" w:hAnsi="Arial" w:cs="Arial"/>
                <w:color w:val="000000"/>
              </w:rPr>
              <w:t>-0.020908159</w:t>
            </w:r>
          </w:p>
        </w:tc>
        <w:tc>
          <w:tcPr>
            <w:tcW w:w="1701" w:type="dxa"/>
            <w:vAlign w:val="bottom"/>
          </w:tcPr>
          <w:p w:rsidR="000C075A" w:rsidRDefault="000C075A" w:rsidP="00EF4AE9">
            <w:pPr>
              <w:rPr>
                <w:rFonts w:ascii="Arial" w:hAnsi="Arial" w:cs="Arial"/>
                <w:color w:val="000000"/>
              </w:rPr>
            </w:pPr>
            <w:r>
              <w:rPr>
                <w:rFonts w:ascii="Arial" w:hAnsi="Arial" w:cs="Arial"/>
                <w:color w:val="000000"/>
              </w:rPr>
              <w:t>-0.0157</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1993</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0.053741</w:t>
            </w:r>
          </w:p>
        </w:tc>
        <w:tc>
          <w:tcPr>
            <w:tcW w:w="1701" w:type="dxa"/>
            <w:vAlign w:val="bottom"/>
          </w:tcPr>
          <w:p w:rsidR="000C075A" w:rsidRDefault="000C075A" w:rsidP="00EF4AE9">
            <w:pPr>
              <w:rPr>
                <w:rFonts w:ascii="Arial" w:hAnsi="Arial" w:cs="Arial"/>
                <w:color w:val="000000"/>
              </w:rPr>
            </w:pPr>
            <w:r>
              <w:rPr>
                <w:rFonts w:ascii="Arial" w:hAnsi="Arial" w:cs="Arial"/>
                <w:color w:val="000000"/>
              </w:rPr>
              <w:t>0.091967</w:t>
            </w:r>
          </w:p>
        </w:tc>
        <w:tc>
          <w:tcPr>
            <w:tcW w:w="1701" w:type="dxa"/>
            <w:vAlign w:val="bottom"/>
          </w:tcPr>
          <w:p w:rsidR="000C075A" w:rsidRDefault="000C075A" w:rsidP="00EF4AE9">
            <w:pPr>
              <w:rPr>
                <w:rFonts w:ascii="Arial" w:hAnsi="Arial" w:cs="Arial"/>
                <w:color w:val="000000"/>
              </w:rPr>
            </w:pPr>
            <w:r>
              <w:rPr>
                <w:rFonts w:ascii="Arial" w:hAnsi="Arial" w:cs="Arial"/>
                <w:color w:val="000000"/>
              </w:rPr>
              <w:t>0.067500394</w:t>
            </w:r>
          </w:p>
        </w:tc>
        <w:tc>
          <w:tcPr>
            <w:tcW w:w="1701" w:type="dxa"/>
            <w:vAlign w:val="bottom"/>
          </w:tcPr>
          <w:p w:rsidR="000C075A" w:rsidRDefault="000C075A" w:rsidP="00EF4AE9">
            <w:pPr>
              <w:rPr>
                <w:rFonts w:ascii="Arial" w:hAnsi="Arial" w:cs="Arial"/>
                <w:color w:val="000000"/>
              </w:rPr>
            </w:pPr>
            <w:r>
              <w:rPr>
                <w:rFonts w:ascii="Arial" w:hAnsi="Arial" w:cs="Arial"/>
                <w:color w:val="000000"/>
              </w:rPr>
              <w:t>-0.0391</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1994</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0.024425</w:t>
            </w:r>
          </w:p>
        </w:tc>
        <w:tc>
          <w:tcPr>
            <w:tcW w:w="1701" w:type="dxa"/>
            <w:vAlign w:val="bottom"/>
          </w:tcPr>
          <w:p w:rsidR="000C075A" w:rsidRDefault="000C075A" w:rsidP="00EF4AE9">
            <w:pPr>
              <w:rPr>
                <w:rFonts w:ascii="Arial" w:hAnsi="Arial" w:cs="Arial"/>
                <w:color w:val="000000"/>
              </w:rPr>
            </w:pPr>
            <w:r>
              <w:rPr>
                <w:rFonts w:ascii="Arial" w:hAnsi="Arial" w:cs="Arial"/>
                <w:color w:val="000000"/>
              </w:rPr>
              <w:t>-0.1483</w:t>
            </w:r>
          </w:p>
        </w:tc>
        <w:tc>
          <w:tcPr>
            <w:tcW w:w="1701" w:type="dxa"/>
            <w:vAlign w:val="bottom"/>
          </w:tcPr>
          <w:p w:rsidR="000C075A" w:rsidRDefault="000C075A" w:rsidP="00EF4AE9">
            <w:pPr>
              <w:rPr>
                <w:rFonts w:ascii="Arial" w:hAnsi="Arial" w:cs="Arial"/>
                <w:color w:val="000000"/>
              </w:rPr>
            </w:pPr>
            <w:r>
              <w:rPr>
                <w:rFonts w:ascii="Arial" w:hAnsi="Arial" w:cs="Arial"/>
                <w:color w:val="000000"/>
              </w:rPr>
              <w:t>0.001997904</w:t>
            </w:r>
          </w:p>
        </w:tc>
        <w:tc>
          <w:tcPr>
            <w:tcW w:w="1701" w:type="dxa"/>
            <w:vAlign w:val="bottom"/>
          </w:tcPr>
          <w:p w:rsidR="000C075A" w:rsidRDefault="000C075A" w:rsidP="00EF4AE9">
            <w:pPr>
              <w:rPr>
                <w:rFonts w:ascii="Arial" w:hAnsi="Arial" w:cs="Arial"/>
                <w:color w:val="000000"/>
              </w:rPr>
            </w:pPr>
            <w:r>
              <w:rPr>
                <w:rFonts w:ascii="Arial" w:hAnsi="Arial" w:cs="Arial"/>
                <w:color w:val="000000"/>
              </w:rPr>
              <w:t>0.0289</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1995</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0.194353</w:t>
            </w:r>
          </w:p>
        </w:tc>
        <w:tc>
          <w:tcPr>
            <w:tcW w:w="1701" w:type="dxa"/>
            <w:vAlign w:val="bottom"/>
          </w:tcPr>
          <w:p w:rsidR="000C075A" w:rsidRDefault="000C075A" w:rsidP="00EF4AE9">
            <w:pPr>
              <w:rPr>
                <w:rFonts w:ascii="Arial" w:hAnsi="Arial" w:cs="Arial"/>
                <w:color w:val="000000"/>
              </w:rPr>
            </w:pPr>
            <w:r>
              <w:rPr>
                <w:rFonts w:ascii="Arial" w:hAnsi="Arial" w:cs="Arial"/>
                <w:color w:val="000000"/>
              </w:rPr>
              <w:t>0.058951</w:t>
            </w:r>
          </w:p>
        </w:tc>
        <w:tc>
          <w:tcPr>
            <w:tcW w:w="1701" w:type="dxa"/>
            <w:vAlign w:val="bottom"/>
          </w:tcPr>
          <w:p w:rsidR="000C075A" w:rsidRDefault="000C075A" w:rsidP="00EF4AE9">
            <w:pPr>
              <w:rPr>
                <w:rFonts w:ascii="Arial" w:hAnsi="Arial" w:cs="Arial"/>
                <w:color w:val="000000"/>
              </w:rPr>
            </w:pPr>
            <w:r>
              <w:rPr>
                <w:rFonts w:ascii="Arial" w:hAnsi="Arial" w:cs="Arial"/>
                <w:color w:val="000000"/>
              </w:rPr>
              <w:t>0.267898882</w:t>
            </w:r>
          </w:p>
        </w:tc>
        <w:tc>
          <w:tcPr>
            <w:tcW w:w="1701" w:type="dxa"/>
            <w:vAlign w:val="bottom"/>
          </w:tcPr>
          <w:p w:rsidR="000C075A" w:rsidRDefault="000C075A" w:rsidP="00EF4AE9">
            <w:pPr>
              <w:rPr>
                <w:rFonts w:ascii="Arial" w:hAnsi="Arial" w:cs="Arial"/>
                <w:color w:val="000000"/>
              </w:rPr>
            </w:pPr>
            <w:r>
              <w:rPr>
                <w:rFonts w:ascii="Arial" w:hAnsi="Arial" w:cs="Arial"/>
                <w:color w:val="000000"/>
              </w:rPr>
              <w:t>0.0189</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1996</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-0.05043</w:t>
            </w:r>
          </w:p>
        </w:tc>
        <w:tc>
          <w:tcPr>
            <w:tcW w:w="1701" w:type="dxa"/>
            <w:vAlign w:val="bottom"/>
          </w:tcPr>
          <w:p w:rsidR="000C075A" w:rsidRDefault="000C075A" w:rsidP="00EF4AE9">
            <w:pPr>
              <w:rPr>
                <w:rFonts w:ascii="Arial" w:hAnsi="Arial" w:cs="Arial"/>
                <w:color w:val="000000"/>
              </w:rPr>
            </w:pPr>
            <w:r>
              <w:rPr>
                <w:rFonts w:ascii="Arial" w:hAnsi="Arial" w:cs="Arial"/>
                <w:color w:val="000000"/>
              </w:rPr>
              <w:t>0.060971</w:t>
            </w:r>
          </w:p>
        </w:tc>
        <w:tc>
          <w:tcPr>
            <w:tcW w:w="1701" w:type="dxa"/>
            <w:vAlign w:val="bottom"/>
          </w:tcPr>
          <w:p w:rsidR="000C075A" w:rsidRDefault="000C075A" w:rsidP="00EF4AE9">
            <w:pPr>
              <w:rPr>
                <w:rFonts w:ascii="Arial" w:hAnsi="Arial" w:cs="Arial"/>
                <w:color w:val="000000"/>
              </w:rPr>
            </w:pPr>
            <w:r>
              <w:rPr>
                <w:rFonts w:ascii="Arial" w:hAnsi="Arial" w:cs="Arial"/>
                <w:color w:val="000000"/>
              </w:rPr>
              <w:t>0.177095948</w:t>
            </w:r>
          </w:p>
        </w:tc>
        <w:tc>
          <w:tcPr>
            <w:tcW w:w="1701" w:type="dxa"/>
            <w:vAlign w:val="bottom"/>
          </w:tcPr>
          <w:p w:rsidR="000C075A" w:rsidRDefault="000C075A" w:rsidP="00EF4AE9">
            <w:pPr>
              <w:rPr>
                <w:rFonts w:ascii="Arial" w:hAnsi="Arial" w:cs="Arial"/>
                <w:color w:val="000000"/>
              </w:rPr>
            </w:pPr>
            <w:r>
              <w:rPr>
                <w:rFonts w:ascii="Arial" w:hAnsi="Arial" w:cs="Arial"/>
                <w:color w:val="000000"/>
              </w:rPr>
              <w:t>0.1984</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1997</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0.094723</w:t>
            </w:r>
          </w:p>
        </w:tc>
        <w:tc>
          <w:tcPr>
            <w:tcW w:w="1701" w:type="dxa"/>
            <w:vAlign w:val="bottom"/>
          </w:tcPr>
          <w:p w:rsidR="000C075A" w:rsidRDefault="000C075A" w:rsidP="00EF4AE9">
            <w:pPr>
              <w:rPr>
                <w:rFonts w:ascii="Arial" w:hAnsi="Arial" w:cs="Arial"/>
                <w:color w:val="000000"/>
              </w:rPr>
            </w:pPr>
            <w:r>
              <w:rPr>
                <w:rFonts w:ascii="Arial" w:hAnsi="Arial" w:cs="Arial"/>
                <w:color w:val="000000"/>
              </w:rPr>
              <w:t>0.215708</w:t>
            </w:r>
          </w:p>
        </w:tc>
        <w:tc>
          <w:tcPr>
            <w:tcW w:w="1701" w:type="dxa"/>
            <w:vAlign w:val="bottom"/>
          </w:tcPr>
          <w:p w:rsidR="000C075A" w:rsidRDefault="000C075A" w:rsidP="00EF4AE9">
            <w:pPr>
              <w:rPr>
                <w:rFonts w:ascii="Arial" w:hAnsi="Arial" w:cs="Arial"/>
                <w:color w:val="000000"/>
              </w:rPr>
            </w:pPr>
            <w:r>
              <w:rPr>
                <w:rFonts w:ascii="Arial" w:hAnsi="Arial" w:cs="Arial"/>
                <w:color w:val="000000"/>
              </w:rPr>
              <w:t>0.046375242</w:t>
            </w:r>
          </w:p>
        </w:tc>
        <w:tc>
          <w:tcPr>
            <w:tcW w:w="1701" w:type="dxa"/>
            <w:vAlign w:val="bottom"/>
          </w:tcPr>
          <w:p w:rsidR="000C075A" w:rsidRDefault="000C075A" w:rsidP="00EF4AE9">
            <w:pPr>
              <w:rPr>
                <w:rFonts w:ascii="Arial" w:hAnsi="Arial" w:cs="Arial"/>
                <w:color w:val="000000"/>
              </w:rPr>
            </w:pPr>
            <w:r>
              <w:rPr>
                <w:rFonts w:ascii="Arial" w:hAnsi="Arial" w:cs="Arial"/>
                <w:color w:val="000000"/>
              </w:rPr>
              <w:t>0.1425</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1998</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-0.07212</w:t>
            </w:r>
          </w:p>
        </w:tc>
        <w:tc>
          <w:tcPr>
            <w:tcW w:w="1701" w:type="dxa"/>
            <w:vAlign w:val="bottom"/>
          </w:tcPr>
          <w:p w:rsidR="000C075A" w:rsidRDefault="000C075A" w:rsidP="00EF4AE9">
            <w:pPr>
              <w:rPr>
                <w:rFonts w:ascii="Arial" w:hAnsi="Arial" w:cs="Arial"/>
                <w:color w:val="000000"/>
              </w:rPr>
            </w:pPr>
            <w:r>
              <w:rPr>
                <w:rFonts w:ascii="Arial" w:hAnsi="Arial" w:cs="Arial"/>
                <w:color w:val="000000"/>
              </w:rPr>
              <w:t>0.046996</w:t>
            </w:r>
          </w:p>
        </w:tc>
        <w:tc>
          <w:tcPr>
            <w:tcW w:w="1701" w:type="dxa"/>
            <w:vAlign w:val="bottom"/>
          </w:tcPr>
          <w:p w:rsidR="000C075A" w:rsidRDefault="000C075A" w:rsidP="00EF4AE9">
            <w:pPr>
              <w:rPr>
                <w:rFonts w:ascii="Arial" w:hAnsi="Arial" w:cs="Arial"/>
                <w:color w:val="000000"/>
              </w:rPr>
            </w:pPr>
            <w:r>
              <w:rPr>
                <w:rFonts w:ascii="Arial" w:hAnsi="Arial" w:cs="Arial"/>
                <w:color w:val="000000"/>
              </w:rPr>
              <w:t>-0.036389117</w:t>
            </w:r>
          </w:p>
        </w:tc>
        <w:tc>
          <w:tcPr>
            <w:tcW w:w="1701" w:type="dxa"/>
            <w:vAlign w:val="bottom"/>
          </w:tcPr>
          <w:p w:rsidR="000C075A" w:rsidRDefault="000C075A" w:rsidP="00EF4AE9">
            <w:pPr>
              <w:rPr>
                <w:rFonts w:ascii="Arial" w:hAnsi="Arial" w:cs="Arial"/>
                <w:color w:val="000000"/>
              </w:rPr>
            </w:pPr>
            <w:r>
              <w:rPr>
                <w:rFonts w:ascii="Arial" w:hAnsi="Arial" w:cs="Arial"/>
                <w:color w:val="000000"/>
              </w:rPr>
              <w:t>0.078</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1999</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-0.03346</w:t>
            </w:r>
          </w:p>
        </w:tc>
        <w:tc>
          <w:tcPr>
            <w:tcW w:w="1701" w:type="dxa"/>
            <w:vAlign w:val="bottom"/>
          </w:tcPr>
          <w:p w:rsidR="000C075A" w:rsidRDefault="000C075A" w:rsidP="00EF4AE9">
            <w:pPr>
              <w:rPr>
                <w:rFonts w:ascii="Arial" w:hAnsi="Arial" w:cs="Arial"/>
                <w:color w:val="000000"/>
              </w:rPr>
            </w:pPr>
            <w:r>
              <w:rPr>
                <w:rFonts w:ascii="Arial" w:hAnsi="Arial" w:cs="Arial"/>
                <w:color w:val="000000"/>
              </w:rPr>
              <w:t>-0.08987</w:t>
            </w:r>
          </w:p>
        </w:tc>
        <w:tc>
          <w:tcPr>
            <w:tcW w:w="1701" w:type="dxa"/>
            <w:vAlign w:val="bottom"/>
          </w:tcPr>
          <w:p w:rsidR="000C075A" w:rsidRDefault="000C075A" w:rsidP="00EF4AE9">
            <w:pPr>
              <w:rPr>
                <w:rFonts w:ascii="Arial" w:hAnsi="Arial" w:cs="Arial"/>
                <w:color w:val="000000"/>
              </w:rPr>
            </w:pPr>
            <w:r>
              <w:rPr>
                <w:rFonts w:ascii="Arial" w:hAnsi="Arial" w:cs="Arial"/>
                <w:color w:val="000000"/>
              </w:rPr>
              <w:t>-0.003328468</w:t>
            </w:r>
          </w:p>
        </w:tc>
        <w:tc>
          <w:tcPr>
            <w:tcW w:w="1701" w:type="dxa"/>
            <w:vAlign w:val="bottom"/>
          </w:tcPr>
          <w:p w:rsidR="000C075A" w:rsidRDefault="000C075A" w:rsidP="00EF4AE9">
            <w:pPr>
              <w:rPr>
                <w:rFonts w:ascii="Arial" w:hAnsi="Arial" w:cs="Arial"/>
                <w:color w:val="000000"/>
              </w:rPr>
            </w:pPr>
            <w:r>
              <w:rPr>
                <w:rFonts w:ascii="Arial" w:hAnsi="Arial" w:cs="Arial"/>
                <w:color w:val="000000"/>
              </w:rPr>
              <w:t>0.0331</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2000</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-0.04972</w:t>
            </w:r>
          </w:p>
        </w:tc>
        <w:tc>
          <w:tcPr>
            <w:tcW w:w="1701" w:type="dxa"/>
            <w:vAlign w:val="bottom"/>
          </w:tcPr>
          <w:p w:rsidR="000C075A" w:rsidRDefault="000C075A" w:rsidP="00EF4AE9">
            <w:pPr>
              <w:rPr>
                <w:rFonts w:ascii="Arial" w:hAnsi="Arial" w:cs="Arial"/>
                <w:color w:val="000000"/>
              </w:rPr>
            </w:pPr>
            <w:r>
              <w:rPr>
                <w:rFonts w:ascii="Arial" w:hAnsi="Arial" w:cs="Arial"/>
                <w:color w:val="000000"/>
              </w:rPr>
              <w:t>-0.16275</w:t>
            </w:r>
          </w:p>
        </w:tc>
        <w:tc>
          <w:tcPr>
            <w:tcW w:w="1701" w:type="dxa"/>
            <w:vAlign w:val="bottom"/>
          </w:tcPr>
          <w:p w:rsidR="000C075A" w:rsidRDefault="000C075A" w:rsidP="00EF4AE9">
            <w:pPr>
              <w:rPr>
                <w:rFonts w:ascii="Arial" w:hAnsi="Arial" w:cs="Arial"/>
                <w:color w:val="000000"/>
              </w:rPr>
            </w:pPr>
            <w:r>
              <w:rPr>
                <w:rFonts w:ascii="Arial" w:hAnsi="Arial" w:cs="Arial"/>
                <w:color w:val="000000"/>
              </w:rPr>
              <w:t>-0.074310236</w:t>
            </w:r>
          </w:p>
        </w:tc>
        <w:tc>
          <w:tcPr>
            <w:tcW w:w="1701" w:type="dxa"/>
            <w:vAlign w:val="bottom"/>
          </w:tcPr>
          <w:p w:rsidR="000C075A" w:rsidRDefault="000C075A" w:rsidP="00EF4AE9">
            <w:pPr>
              <w:rPr>
                <w:rFonts w:ascii="Arial" w:hAnsi="Arial" w:cs="Arial"/>
                <w:color w:val="000000"/>
              </w:rPr>
            </w:pPr>
            <w:r>
              <w:rPr>
                <w:rFonts w:ascii="Arial" w:hAnsi="Arial" w:cs="Arial"/>
                <w:color w:val="000000"/>
              </w:rPr>
              <w:t>0.0591</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2001</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0.057213</w:t>
            </w:r>
          </w:p>
        </w:tc>
        <w:tc>
          <w:tcPr>
            <w:tcW w:w="1701" w:type="dxa"/>
            <w:vAlign w:val="bottom"/>
          </w:tcPr>
          <w:p w:rsidR="000C075A" w:rsidRDefault="000C075A" w:rsidP="00EF4AE9">
            <w:pPr>
              <w:rPr>
                <w:rFonts w:ascii="Arial" w:hAnsi="Arial" w:cs="Arial"/>
                <w:color w:val="000000"/>
              </w:rPr>
            </w:pPr>
            <w:r>
              <w:rPr>
                <w:rFonts w:ascii="Arial" w:hAnsi="Arial" w:cs="Arial"/>
                <w:color w:val="000000"/>
              </w:rPr>
              <w:t>-0.08255</w:t>
            </w:r>
          </w:p>
        </w:tc>
        <w:tc>
          <w:tcPr>
            <w:tcW w:w="1701" w:type="dxa"/>
            <w:vAlign w:val="bottom"/>
          </w:tcPr>
          <w:p w:rsidR="000C075A" w:rsidRDefault="000C075A" w:rsidP="00EF4AE9">
            <w:pPr>
              <w:rPr>
                <w:rFonts w:ascii="Arial" w:hAnsi="Arial" w:cs="Arial"/>
                <w:color w:val="000000"/>
              </w:rPr>
            </w:pPr>
            <w:r>
              <w:rPr>
                <w:rFonts w:ascii="Arial" w:hAnsi="Arial" w:cs="Arial"/>
                <w:color w:val="000000"/>
              </w:rPr>
              <w:t>-0.044178311</w:t>
            </w:r>
          </w:p>
        </w:tc>
        <w:tc>
          <w:tcPr>
            <w:tcW w:w="1701" w:type="dxa"/>
            <w:vAlign w:val="bottom"/>
          </w:tcPr>
          <w:p w:rsidR="000C075A" w:rsidRDefault="000C075A" w:rsidP="00EF4AE9">
            <w:pPr>
              <w:rPr>
                <w:rFonts w:ascii="Arial" w:hAnsi="Arial" w:cs="Arial"/>
                <w:color w:val="000000"/>
              </w:rPr>
            </w:pPr>
            <w:r>
              <w:rPr>
                <w:rFonts w:ascii="Arial" w:hAnsi="Arial" w:cs="Arial"/>
                <w:color w:val="000000"/>
              </w:rPr>
              <w:t>-0.1111</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2002</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0.019987</w:t>
            </w:r>
          </w:p>
        </w:tc>
        <w:tc>
          <w:tcPr>
            <w:tcW w:w="1701" w:type="dxa"/>
            <w:vAlign w:val="bottom"/>
          </w:tcPr>
          <w:p w:rsidR="000C075A" w:rsidRDefault="000C075A" w:rsidP="00EF4AE9">
            <w:pPr>
              <w:rPr>
                <w:rFonts w:ascii="Arial" w:hAnsi="Arial" w:cs="Arial"/>
                <w:color w:val="000000"/>
              </w:rPr>
            </w:pPr>
            <w:r>
              <w:rPr>
                <w:rFonts w:ascii="Arial" w:hAnsi="Arial" w:cs="Arial"/>
                <w:color w:val="000000"/>
              </w:rPr>
              <w:t>-0.05232</w:t>
            </w:r>
          </w:p>
        </w:tc>
        <w:tc>
          <w:tcPr>
            <w:tcW w:w="1701" w:type="dxa"/>
            <w:vAlign w:val="bottom"/>
          </w:tcPr>
          <w:p w:rsidR="000C075A" w:rsidRDefault="000C075A" w:rsidP="00EF4AE9">
            <w:pPr>
              <w:rPr>
                <w:rFonts w:ascii="Arial" w:hAnsi="Arial" w:cs="Arial"/>
                <w:color w:val="000000"/>
              </w:rPr>
            </w:pPr>
            <w:r>
              <w:rPr>
                <w:rFonts w:ascii="Arial" w:hAnsi="Arial" w:cs="Arial"/>
                <w:color w:val="000000"/>
              </w:rPr>
              <w:t>0.007471807</w:t>
            </w:r>
          </w:p>
        </w:tc>
        <w:tc>
          <w:tcPr>
            <w:tcW w:w="1701" w:type="dxa"/>
            <w:vAlign w:val="bottom"/>
          </w:tcPr>
          <w:p w:rsidR="000C075A" w:rsidRDefault="000C075A" w:rsidP="00EF4AE9">
            <w:pPr>
              <w:rPr>
                <w:rFonts w:ascii="Arial" w:hAnsi="Arial" w:cs="Arial"/>
                <w:color w:val="000000"/>
              </w:rPr>
            </w:pPr>
            <w:r>
              <w:rPr>
                <w:rFonts w:ascii="Arial" w:hAnsi="Arial" w:cs="Arial"/>
                <w:color w:val="000000"/>
              </w:rPr>
              <w:t>-0.1282</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2003</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-0.02283</w:t>
            </w:r>
          </w:p>
        </w:tc>
        <w:tc>
          <w:tcPr>
            <w:tcW w:w="1701" w:type="dxa"/>
            <w:vAlign w:val="bottom"/>
          </w:tcPr>
          <w:p w:rsidR="000C075A" w:rsidRDefault="000C075A" w:rsidP="00EF4AE9">
            <w:pPr>
              <w:rPr>
                <w:rFonts w:ascii="Arial" w:hAnsi="Arial" w:cs="Arial"/>
                <w:color w:val="000000"/>
              </w:rPr>
            </w:pPr>
            <w:r>
              <w:rPr>
                <w:rFonts w:ascii="Arial" w:hAnsi="Arial" w:cs="Arial"/>
                <w:color w:val="000000"/>
              </w:rPr>
              <w:t>-0.09351</w:t>
            </w:r>
          </w:p>
        </w:tc>
        <w:tc>
          <w:tcPr>
            <w:tcW w:w="1701" w:type="dxa"/>
            <w:vAlign w:val="bottom"/>
          </w:tcPr>
          <w:p w:rsidR="000C075A" w:rsidRDefault="000C075A" w:rsidP="00EF4AE9">
            <w:pPr>
              <w:rPr>
                <w:rFonts w:ascii="Arial" w:hAnsi="Arial" w:cs="Arial"/>
                <w:color w:val="000000"/>
              </w:rPr>
            </w:pPr>
            <w:r>
              <w:rPr>
                <w:rFonts w:ascii="Arial" w:hAnsi="Arial" w:cs="Arial"/>
                <w:color w:val="000000"/>
              </w:rPr>
              <w:t>-0.066283844</w:t>
            </w:r>
          </w:p>
        </w:tc>
        <w:tc>
          <w:tcPr>
            <w:tcW w:w="1701" w:type="dxa"/>
            <w:vAlign w:val="bottom"/>
          </w:tcPr>
          <w:p w:rsidR="000C075A" w:rsidRDefault="000C075A" w:rsidP="00EF4AE9">
            <w:pPr>
              <w:rPr>
                <w:rFonts w:ascii="Arial" w:hAnsi="Arial" w:cs="Arial"/>
                <w:color w:val="000000"/>
              </w:rPr>
            </w:pPr>
            <w:r>
              <w:rPr>
                <w:rFonts w:ascii="Arial" w:hAnsi="Arial" w:cs="Arial"/>
                <w:color w:val="000000"/>
              </w:rPr>
              <w:t>-0.0895</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2004</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-0.25099</w:t>
            </w:r>
          </w:p>
        </w:tc>
        <w:tc>
          <w:tcPr>
            <w:tcW w:w="1701" w:type="dxa"/>
            <w:vAlign w:val="bottom"/>
          </w:tcPr>
          <w:p w:rsidR="000C075A" w:rsidRDefault="000C075A" w:rsidP="00EF4AE9">
            <w:pPr>
              <w:rPr>
                <w:rFonts w:ascii="Arial" w:hAnsi="Arial" w:cs="Arial"/>
                <w:color w:val="000000"/>
              </w:rPr>
            </w:pPr>
            <w:r>
              <w:rPr>
                <w:rFonts w:ascii="Arial" w:hAnsi="Arial" w:cs="Arial"/>
                <w:color w:val="000000"/>
              </w:rPr>
              <w:t>-0.30306</w:t>
            </w:r>
          </w:p>
        </w:tc>
        <w:tc>
          <w:tcPr>
            <w:tcW w:w="1701" w:type="dxa"/>
            <w:vAlign w:val="bottom"/>
          </w:tcPr>
          <w:p w:rsidR="000C075A" w:rsidRDefault="000C075A" w:rsidP="00EF4AE9">
            <w:pPr>
              <w:rPr>
                <w:rFonts w:ascii="Arial" w:hAnsi="Arial" w:cs="Arial"/>
                <w:color w:val="000000"/>
              </w:rPr>
            </w:pPr>
            <w:r>
              <w:rPr>
                <w:rFonts w:ascii="Arial" w:hAnsi="Arial" w:cs="Arial"/>
                <w:color w:val="000000"/>
              </w:rPr>
              <w:t>-0.23606431</w:t>
            </w:r>
          </w:p>
        </w:tc>
        <w:tc>
          <w:tcPr>
            <w:tcW w:w="1701" w:type="dxa"/>
            <w:vAlign w:val="bottom"/>
          </w:tcPr>
          <w:p w:rsidR="000C075A" w:rsidRDefault="000C075A" w:rsidP="00EF4AE9">
            <w:pPr>
              <w:rPr>
                <w:rFonts w:ascii="Arial" w:hAnsi="Arial" w:cs="Arial"/>
                <w:color w:val="000000"/>
              </w:rPr>
            </w:pPr>
            <w:r>
              <w:rPr>
                <w:rFonts w:ascii="Arial" w:hAnsi="Arial" w:cs="Arial"/>
                <w:color w:val="000000"/>
              </w:rPr>
              <w:t>-0.0475</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2005</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-0.00868</w:t>
            </w:r>
          </w:p>
        </w:tc>
        <w:tc>
          <w:tcPr>
            <w:tcW w:w="1701" w:type="dxa"/>
            <w:vAlign w:val="bottom"/>
          </w:tcPr>
          <w:p w:rsidR="000C075A" w:rsidRDefault="000C075A" w:rsidP="00EF4AE9">
            <w:pPr>
              <w:rPr>
                <w:rFonts w:ascii="Arial" w:hAnsi="Arial" w:cs="Arial"/>
                <w:color w:val="000000"/>
              </w:rPr>
            </w:pPr>
            <w:r>
              <w:rPr>
                <w:rFonts w:ascii="Arial" w:hAnsi="Arial" w:cs="Arial"/>
                <w:color w:val="000000"/>
              </w:rPr>
              <w:t>-0.14263</w:t>
            </w:r>
          </w:p>
        </w:tc>
        <w:tc>
          <w:tcPr>
            <w:tcW w:w="1701" w:type="dxa"/>
            <w:vAlign w:val="bottom"/>
          </w:tcPr>
          <w:p w:rsidR="000C075A" w:rsidRDefault="000C075A" w:rsidP="00EF4AE9">
            <w:pPr>
              <w:rPr>
                <w:rFonts w:ascii="Arial" w:hAnsi="Arial" w:cs="Arial"/>
                <w:color w:val="000000"/>
              </w:rPr>
            </w:pPr>
            <w:r>
              <w:rPr>
                <w:rFonts w:ascii="Arial" w:hAnsi="Arial" w:cs="Arial"/>
                <w:color w:val="000000"/>
              </w:rPr>
              <w:t>-0.033857946</w:t>
            </w:r>
          </w:p>
        </w:tc>
        <w:tc>
          <w:tcPr>
            <w:tcW w:w="1701" w:type="dxa"/>
            <w:vAlign w:val="bottom"/>
          </w:tcPr>
          <w:p w:rsidR="000C075A" w:rsidRDefault="000C075A" w:rsidP="00EF4AE9">
            <w:pPr>
              <w:rPr>
                <w:rFonts w:ascii="Arial" w:hAnsi="Arial" w:cs="Arial"/>
                <w:color w:val="000000"/>
              </w:rPr>
            </w:pPr>
            <w:r>
              <w:rPr>
                <w:rFonts w:ascii="Arial" w:hAnsi="Arial" w:cs="Arial"/>
                <w:color w:val="000000"/>
              </w:rPr>
              <w:t>-0.2392</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2006</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-0.15629</w:t>
            </w:r>
          </w:p>
        </w:tc>
        <w:tc>
          <w:tcPr>
            <w:tcW w:w="1701" w:type="dxa"/>
            <w:vAlign w:val="bottom"/>
          </w:tcPr>
          <w:p w:rsidR="000C075A" w:rsidRDefault="000C075A" w:rsidP="00EF4AE9">
            <w:pPr>
              <w:rPr>
                <w:rFonts w:ascii="Arial" w:hAnsi="Arial" w:cs="Arial"/>
                <w:color w:val="000000"/>
              </w:rPr>
            </w:pPr>
            <w:r>
              <w:rPr>
                <w:rFonts w:ascii="Arial" w:hAnsi="Arial" w:cs="Arial"/>
                <w:color w:val="000000"/>
              </w:rPr>
              <w:t>-0.08516</w:t>
            </w:r>
          </w:p>
        </w:tc>
        <w:tc>
          <w:tcPr>
            <w:tcW w:w="1701" w:type="dxa"/>
            <w:vAlign w:val="bottom"/>
          </w:tcPr>
          <w:p w:rsidR="000C075A" w:rsidRDefault="000C075A" w:rsidP="00EF4AE9">
            <w:pPr>
              <w:rPr>
                <w:rFonts w:ascii="Arial" w:hAnsi="Arial" w:cs="Arial"/>
                <w:color w:val="000000"/>
              </w:rPr>
            </w:pPr>
            <w:r>
              <w:rPr>
                <w:rFonts w:ascii="Arial" w:hAnsi="Arial" w:cs="Arial"/>
                <w:color w:val="000000"/>
              </w:rPr>
              <w:t>-0.343415642</w:t>
            </w:r>
          </w:p>
        </w:tc>
        <w:tc>
          <w:tcPr>
            <w:tcW w:w="1701" w:type="dxa"/>
            <w:vAlign w:val="bottom"/>
          </w:tcPr>
          <w:p w:rsidR="000C075A" w:rsidRDefault="000C075A" w:rsidP="00EF4AE9">
            <w:pPr>
              <w:rPr>
                <w:rFonts w:ascii="Arial" w:hAnsi="Arial" w:cs="Arial"/>
                <w:color w:val="000000"/>
              </w:rPr>
            </w:pPr>
            <w:r>
              <w:rPr>
                <w:rFonts w:ascii="Arial" w:hAnsi="Arial" w:cs="Arial"/>
                <w:color w:val="000000"/>
              </w:rPr>
              <w:t>-0.1077</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2007</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-0.21697</w:t>
            </w:r>
          </w:p>
        </w:tc>
        <w:tc>
          <w:tcPr>
            <w:tcW w:w="1701" w:type="dxa"/>
            <w:vAlign w:val="bottom"/>
          </w:tcPr>
          <w:p w:rsidR="000C075A" w:rsidRDefault="000C075A" w:rsidP="00EF4AE9">
            <w:pPr>
              <w:rPr>
                <w:rFonts w:ascii="Arial" w:hAnsi="Arial" w:cs="Arial"/>
                <w:color w:val="000000"/>
              </w:rPr>
            </w:pPr>
            <w:r>
              <w:rPr>
                <w:rFonts w:ascii="Arial" w:hAnsi="Arial" w:cs="Arial"/>
                <w:color w:val="000000"/>
              </w:rPr>
              <w:t>-0.16855</w:t>
            </w:r>
          </w:p>
        </w:tc>
        <w:tc>
          <w:tcPr>
            <w:tcW w:w="1701" w:type="dxa"/>
            <w:vAlign w:val="bottom"/>
          </w:tcPr>
          <w:p w:rsidR="000C075A" w:rsidRDefault="000C075A" w:rsidP="00EF4AE9">
            <w:pPr>
              <w:rPr>
                <w:rFonts w:ascii="Arial" w:hAnsi="Arial" w:cs="Arial"/>
                <w:color w:val="000000"/>
              </w:rPr>
            </w:pPr>
            <w:r>
              <w:rPr>
                <w:rFonts w:ascii="Arial" w:hAnsi="Arial" w:cs="Arial"/>
                <w:color w:val="000000"/>
              </w:rPr>
              <w:t>-0.235560256</w:t>
            </w:r>
          </w:p>
        </w:tc>
        <w:tc>
          <w:tcPr>
            <w:tcW w:w="1701" w:type="dxa"/>
            <w:vAlign w:val="bottom"/>
          </w:tcPr>
          <w:p w:rsidR="000C075A" w:rsidRDefault="000C075A" w:rsidP="00EF4AE9">
            <w:pPr>
              <w:rPr>
                <w:rFonts w:ascii="Arial" w:hAnsi="Arial" w:cs="Arial"/>
                <w:color w:val="000000"/>
              </w:rPr>
            </w:pPr>
            <w:r>
              <w:rPr>
                <w:rFonts w:ascii="Arial" w:hAnsi="Arial" w:cs="Arial"/>
                <w:color w:val="000000"/>
              </w:rPr>
              <w:t>-0.1717</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2008</w:t>
            </w:r>
          </w:p>
        </w:tc>
      </w:tr>
    </w:tbl>
    <w:p w:rsidR="000C075A" w:rsidRDefault="000C075A" w:rsidP="0085224A">
      <w:pPr>
        <w:rPr>
          <w:rFonts w:asciiTheme="majorBidi" w:hAnsiTheme="majorBidi" w:cstheme="majorBidi"/>
          <w:b/>
          <w:bCs/>
          <w:lang w:bidi="ar-EG"/>
        </w:rPr>
      </w:pPr>
    </w:p>
    <w:p w:rsidR="000C075A" w:rsidRDefault="00B82557" w:rsidP="0085224A">
      <w:pPr>
        <w:rPr>
          <w:rFonts w:asciiTheme="majorBidi" w:hAnsiTheme="majorBidi" w:cstheme="majorBidi"/>
          <w:lang w:bidi="ar-EG"/>
        </w:rPr>
      </w:pPr>
      <w:r>
        <w:rPr>
          <w:rFonts w:asciiTheme="majorBidi" w:hAnsiTheme="majorBidi" w:cstheme="majorBidi"/>
          <w:lang w:bidi="ar-EG"/>
        </w:rPr>
        <w:t>Note: a</w:t>
      </w:r>
      <w:r w:rsidR="0085224A">
        <w:rPr>
          <w:rFonts w:asciiTheme="majorBidi" w:hAnsiTheme="majorBidi" w:cstheme="majorBidi"/>
          <w:lang w:bidi="ar-EG"/>
        </w:rPr>
        <w:t>ll numbers in this table are calculated by using table (2) and this formula:</w:t>
      </w:r>
    </w:p>
    <w:p w:rsidR="0085224A" w:rsidRDefault="0085224A" w:rsidP="0085224A">
      <w:pPr>
        <w:pStyle w:val="NormalWeb"/>
        <w:spacing w:line="480" w:lineRule="auto"/>
        <w:ind w:left="720"/>
        <w:rPr>
          <w:rFonts w:asciiTheme="majorBidi" w:hAnsiTheme="majorBidi" w:cstheme="majorBidi"/>
          <w:vertAlign w:val="subscript"/>
        </w:rPr>
      </w:pPr>
      <w:r>
        <w:rPr>
          <w:rFonts w:asciiTheme="majorBidi" w:hAnsiTheme="majorBidi" w:cstheme="majorBidi"/>
        </w:rPr>
        <w:t>AIR= (ACPI</w:t>
      </w:r>
      <w:r>
        <w:rPr>
          <w:rFonts w:asciiTheme="majorBidi" w:hAnsiTheme="majorBidi" w:cstheme="majorBidi"/>
          <w:vertAlign w:val="subscript"/>
        </w:rPr>
        <w:t xml:space="preserve">t </w:t>
      </w:r>
      <w:r>
        <w:rPr>
          <w:rFonts w:asciiTheme="majorBidi" w:hAnsiTheme="majorBidi" w:cstheme="majorBidi"/>
        </w:rPr>
        <w:t>–ACPI</w:t>
      </w:r>
      <w:r>
        <w:rPr>
          <w:rFonts w:asciiTheme="majorBidi" w:hAnsiTheme="majorBidi" w:cstheme="majorBidi"/>
          <w:vertAlign w:val="subscript"/>
        </w:rPr>
        <w:t>t-1</w:t>
      </w:r>
      <w:r>
        <w:rPr>
          <w:rFonts w:asciiTheme="majorBidi" w:hAnsiTheme="majorBidi" w:cstheme="majorBidi"/>
        </w:rPr>
        <w:t>)/ACPI</w:t>
      </w:r>
      <w:r>
        <w:rPr>
          <w:rFonts w:asciiTheme="majorBidi" w:hAnsiTheme="majorBidi" w:cstheme="majorBidi"/>
          <w:vertAlign w:val="subscript"/>
        </w:rPr>
        <w:t>t-1</w:t>
      </w:r>
    </w:p>
    <w:p w:rsidR="0085224A" w:rsidRPr="0085224A" w:rsidRDefault="0085224A" w:rsidP="000C075A">
      <w:pPr>
        <w:rPr>
          <w:rFonts w:asciiTheme="majorBidi" w:hAnsiTheme="majorBidi" w:cstheme="majorBidi"/>
          <w:lang w:bidi="ar-EG"/>
        </w:rPr>
      </w:pPr>
      <w:r>
        <w:rPr>
          <w:rFonts w:asciiTheme="majorBidi" w:hAnsiTheme="majorBidi" w:cstheme="majorBidi"/>
          <w:lang w:bidi="ar-EG"/>
        </w:rPr>
        <w:lastRenderedPageBreak/>
        <w:t>ACPI</w:t>
      </w:r>
      <w:r>
        <w:rPr>
          <w:rFonts w:asciiTheme="majorBidi" w:hAnsiTheme="majorBidi" w:cstheme="majorBidi"/>
          <w:vertAlign w:val="subscript"/>
          <w:lang w:bidi="ar-EG"/>
        </w:rPr>
        <w:t>t</w:t>
      </w:r>
      <w:r>
        <w:rPr>
          <w:rFonts w:asciiTheme="majorBidi" w:hAnsiTheme="majorBidi" w:cstheme="majorBidi"/>
          <w:lang w:bidi="ar-EG"/>
        </w:rPr>
        <w:t>: the adjusted consumer price index for year t</w:t>
      </w:r>
    </w:p>
    <w:p w:rsidR="000C075A" w:rsidRDefault="000C075A" w:rsidP="000C075A">
      <w:pPr>
        <w:rPr>
          <w:rFonts w:asciiTheme="majorBidi" w:hAnsiTheme="majorBidi" w:cstheme="majorBidi"/>
          <w:b/>
          <w:bCs/>
          <w:lang w:bidi="ar-EG"/>
        </w:rPr>
      </w:pPr>
      <w:r w:rsidRPr="00006D66">
        <w:rPr>
          <w:rFonts w:asciiTheme="majorBidi" w:hAnsiTheme="majorBidi" w:cstheme="majorBidi"/>
          <w:b/>
          <w:bCs/>
          <w:lang w:bidi="ar-EG"/>
        </w:rPr>
        <w:t>Table (</w:t>
      </w:r>
      <w:r>
        <w:rPr>
          <w:rFonts w:asciiTheme="majorBidi" w:hAnsiTheme="majorBidi" w:cstheme="majorBidi"/>
          <w:b/>
          <w:bCs/>
          <w:lang w:bidi="ar-EG"/>
        </w:rPr>
        <w:t>4</w:t>
      </w:r>
      <w:r w:rsidRPr="00006D66">
        <w:rPr>
          <w:rFonts w:asciiTheme="majorBidi" w:hAnsiTheme="majorBidi" w:cstheme="majorBidi"/>
          <w:b/>
          <w:bCs/>
          <w:lang w:bidi="ar-EG"/>
        </w:rPr>
        <w:t>)</w:t>
      </w:r>
      <w:r>
        <w:rPr>
          <w:rFonts w:asciiTheme="majorBidi" w:hAnsiTheme="majorBidi" w:cstheme="majorBidi"/>
          <w:b/>
          <w:bCs/>
          <w:lang w:bidi="ar-EG"/>
        </w:rPr>
        <w:t xml:space="preserve"> the inflation rate</w:t>
      </w:r>
      <w:r w:rsidRPr="00006D66">
        <w:rPr>
          <w:rFonts w:asciiTheme="majorBidi" w:hAnsiTheme="majorBidi" w:cstheme="majorBidi"/>
          <w:b/>
          <w:bCs/>
          <w:lang w:bidi="ar-EG"/>
        </w:rPr>
        <w:t>:</w:t>
      </w:r>
    </w:p>
    <w:p w:rsidR="000C075A" w:rsidRPr="00006D66" w:rsidRDefault="000C075A" w:rsidP="000C075A">
      <w:pPr>
        <w:jc w:val="right"/>
        <w:rPr>
          <w:rFonts w:asciiTheme="majorBidi" w:hAnsiTheme="majorBidi" w:cstheme="majorBidi"/>
          <w:b/>
          <w:bCs/>
          <w:lang w:bidi="ar-EG"/>
        </w:rPr>
      </w:pPr>
    </w:p>
    <w:tbl>
      <w:tblPr>
        <w:tblStyle w:val="TableGrid"/>
        <w:bidiVisual/>
        <w:tblW w:w="0" w:type="auto"/>
        <w:tblLook w:val="04A0"/>
      </w:tblPr>
      <w:tblGrid>
        <w:gridCol w:w="2177"/>
        <w:gridCol w:w="1701"/>
        <w:gridCol w:w="1701"/>
        <w:gridCol w:w="1701"/>
        <w:gridCol w:w="1242"/>
      </w:tblGrid>
      <w:tr w:rsidR="000C075A" w:rsidTr="00EF4AE9">
        <w:tc>
          <w:tcPr>
            <w:tcW w:w="2177" w:type="dxa"/>
          </w:tcPr>
          <w:p w:rsidR="000C075A" w:rsidRDefault="000C075A" w:rsidP="000C075A">
            <w:pPr>
              <w:rPr>
                <w:rFonts w:asciiTheme="majorBidi" w:hAnsiTheme="majorBidi" w:cstheme="majorBidi"/>
                <w:b/>
                <w:bCs/>
                <w:sz w:val="24"/>
                <w:szCs w:val="24"/>
                <w:rtl/>
                <w:lang w:bidi="ar-EG"/>
              </w:rPr>
            </w:pPr>
            <w:r>
              <w:rPr>
                <w:rFonts w:asciiTheme="majorBidi" w:hAnsiTheme="majorBidi" w:cstheme="majorBidi"/>
                <w:b/>
                <w:bCs/>
                <w:sz w:val="24"/>
                <w:szCs w:val="24"/>
                <w:lang w:bidi="ar-EG"/>
              </w:rPr>
              <w:t>IR  in Australia</w:t>
            </w:r>
          </w:p>
        </w:tc>
        <w:tc>
          <w:tcPr>
            <w:tcW w:w="1701" w:type="dxa"/>
          </w:tcPr>
          <w:p w:rsidR="000C075A" w:rsidRDefault="000C075A" w:rsidP="000C075A">
            <w:pPr>
              <w:rPr>
                <w:rFonts w:asciiTheme="majorBidi" w:hAnsiTheme="majorBidi" w:cstheme="majorBidi"/>
                <w:b/>
                <w:bCs/>
                <w:sz w:val="24"/>
                <w:szCs w:val="24"/>
                <w:lang w:bidi="ar-EG"/>
              </w:rPr>
            </w:pPr>
            <w:r>
              <w:rPr>
                <w:rFonts w:asciiTheme="majorBidi" w:hAnsiTheme="majorBidi" w:cstheme="majorBidi"/>
                <w:b/>
                <w:bCs/>
                <w:sz w:val="24"/>
                <w:szCs w:val="24"/>
                <w:lang w:bidi="ar-EG"/>
              </w:rPr>
              <w:t>IR in Japan</w:t>
            </w:r>
          </w:p>
        </w:tc>
        <w:tc>
          <w:tcPr>
            <w:tcW w:w="1701" w:type="dxa"/>
          </w:tcPr>
          <w:p w:rsidR="000C075A" w:rsidRDefault="000C075A" w:rsidP="000C075A">
            <w:pPr>
              <w:rPr>
                <w:rFonts w:asciiTheme="majorBidi" w:hAnsiTheme="majorBidi" w:cstheme="majorBidi"/>
                <w:b/>
                <w:bCs/>
                <w:sz w:val="24"/>
                <w:szCs w:val="24"/>
                <w:rtl/>
                <w:lang w:bidi="ar-EG"/>
              </w:rPr>
            </w:pPr>
            <w:r>
              <w:rPr>
                <w:rFonts w:asciiTheme="majorBidi" w:hAnsiTheme="majorBidi" w:cstheme="majorBidi"/>
                <w:b/>
                <w:bCs/>
                <w:sz w:val="24"/>
                <w:szCs w:val="24"/>
                <w:lang w:bidi="ar-EG"/>
              </w:rPr>
              <w:t>IR  in UK</w:t>
            </w:r>
          </w:p>
        </w:tc>
        <w:tc>
          <w:tcPr>
            <w:tcW w:w="1701" w:type="dxa"/>
          </w:tcPr>
          <w:p w:rsidR="000C075A" w:rsidRDefault="000C075A" w:rsidP="000C075A">
            <w:pPr>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IR  in USA </w:t>
            </w:r>
          </w:p>
        </w:tc>
        <w:tc>
          <w:tcPr>
            <w:tcW w:w="1242" w:type="dxa"/>
          </w:tcPr>
          <w:p w:rsidR="000C075A" w:rsidRDefault="000C075A" w:rsidP="000C075A">
            <w:pPr>
              <w:rPr>
                <w:rFonts w:asciiTheme="majorBidi" w:hAnsiTheme="majorBidi" w:cstheme="majorBidi"/>
                <w:b/>
                <w:bCs/>
                <w:sz w:val="24"/>
                <w:szCs w:val="24"/>
                <w:lang w:bidi="ar-EG"/>
              </w:rPr>
            </w:pPr>
            <w:r>
              <w:rPr>
                <w:rFonts w:asciiTheme="majorBidi" w:hAnsiTheme="majorBidi" w:cstheme="majorBidi"/>
                <w:b/>
                <w:bCs/>
                <w:sz w:val="24"/>
                <w:szCs w:val="24"/>
                <w:lang w:bidi="ar-EG"/>
              </w:rPr>
              <w:t>Year</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0.071823</w:t>
            </w:r>
          </w:p>
        </w:tc>
        <w:tc>
          <w:tcPr>
            <w:tcW w:w="1701" w:type="dxa"/>
            <w:vAlign w:val="bottom"/>
          </w:tcPr>
          <w:p w:rsidR="000C075A" w:rsidRDefault="000C075A" w:rsidP="00EF4AE9">
            <w:pPr>
              <w:rPr>
                <w:rFonts w:ascii="Arial" w:hAnsi="Arial" w:cs="Arial"/>
                <w:color w:val="000000"/>
              </w:rPr>
            </w:pPr>
            <w:r>
              <w:rPr>
                <w:rFonts w:ascii="Arial" w:hAnsi="Arial" w:cs="Arial"/>
                <w:color w:val="000000"/>
              </w:rPr>
              <w:t>0.04142</w:t>
            </w:r>
          </w:p>
        </w:tc>
        <w:tc>
          <w:tcPr>
            <w:tcW w:w="1701" w:type="dxa"/>
            <w:vAlign w:val="bottom"/>
          </w:tcPr>
          <w:p w:rsidR="000C075A" w:rsidRDefault="000C075A" w:rsidP="00EF4AE9">
            <w:pPr>
              <w:rPr>
                <w:rFonts w:ascii="Arial" w:hAnsi="Arial" w:cs="Arial"/>
                <w:color w:val="000000"/>
              </w:rPr>
            </w:pPr>
            <w:r>
              <w:rPr>
                <w:rFonts w:ascii="Arial" w:hAnsi="Arial" w:cs="Arial"/>
                <w:color w:val="000000"/>
              </w:rPr>
              <w:t>0.07125</w:t>
            </w:r>
          </w:p>
        </w:tc>
        <w:tc>
          <w:tcPr>
            <w:tcW w:w="1701" w:type="dxa"/>
            <w:vAlign w:val="bottom"/>
          </w:tcPr>
          <w:p w:rsidR="000C075A" w:rsidRDefault="000C075A" w:rsidP="00EF4AE9">
            <w:pPr>
              <w:rPr>
                <w:rFonts w:ascii="Arial" w:hAnsi="Arial" w:cs="Arial"/>
                <w:color w:val="000000"/>
              </w:rPr>
            </w:pPr>
            <w:r>
              <w:rPr>
                <w:rFonts w:ascii="Arial" w:hAnsi="Arial" w:cs="Arial"/>
                <w:color w:val="000000"/>
              </w:rPr>
              <w:t>0.043814</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1971</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0.056701</w:t>
            </w:r>
          </w:p>
        </w:tc>
        <w:tc>
          <w:tcPr>
            <w:tcW w:w="1701" w:type="dxa"/>
            <w:vAlign w:val="bottom"/>
          </w:tcPr>
          <w:p w:rsidR="000C075A" w:rsidRDefault="000C075A" w:rsidP="00EF4AE9">
            <w:pPr>
              <w:rPr>
                <w:rFonts w:ascii="Arial" w:hAnsi="Arial" w:cs="Arial"/>
                <w:color w:val="000000"/>
              </w:rPr>
            </w:pPr>
            <w:r>
              <w:rPr>
                <w:rFonts w:ascii="Arial" w:hAnsi="Arial" w:cs="Arial"/>
                <w:color w:val="000000"/>
              </w:rPr>
              <w:t>0.065341</w:t>
            </w:r>
          </w:p>
        </w:tc>
        <w:tc>
          <w:tcPr>
            <w:tcW w:w="1701" w:type="dxa"/>
            <w:vAlign w:val="bottom"/>
          </w:tcPr>
          <w:p w:rsidR="000C075A" w:rsidRDefault="000C075A" w:rsidP="00EF4AE9">
            <w:pPr>
              <w:rPr>
                <w:rFonts w:ascii="Arial" w:hAnsi="Arial" w:cs="Arial"/>
                <w:color w:val="000000"/>
              </w:rPr>
            </w:pPr>
            <w:r>
              <w:rPr>
                <w:rFonts w:ascii="Arial" w:hAnsi="Arial" w:cs="Arial"/>
                <w:color w:val="000000"/>
              </w:rPr>
              <w:t>0.091015</w:t>
            </w:r>
          </w:p>
        </w:tc>
        <w:tc>
          <w:tcPr>
            <w:tcW w:w="1701" w:type="dxa"/>
            <w:vAlign w:val="bottom"/>
          </w:tcPr>
          <w:p w:rsidR="000C075A" w:rsidRDefault="000C075A" w:rsidP="00EF4AE9">
            <w:pPr>
              <w:rPr>
                <w:rFonts w:ascii="Arial" w:hAnsi="Arial" w:cs="Arial"/>
                <w:color w:val="000000"/>
              </w:rPr>
            </w:pPr>
            <w:r>
              <w:rPr>
                <w:rFonts w:ascii="Arial" w:hAnsi="Arial" w:cs="Arial"/>
                <w:color w:val="000000"/>
              </w:rPr>
              <w:t>0.032099</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1972</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0.136585</w:t>
            </w:r>
          </w:p>
        </w:tc>
        <w:tc>
          <w:tcPr>
            <w:tcW w:w="1701" w:type="dxa"/>
            <w:vAlign w:val="bottom"/>
          </w:tcPr>
          <w:p w:rsidR="000C075A" w:rsidRDefault="000C075A" w:rsidP="00EF4AE9">
            <w:pPr>
              <w:rPr>
                <w:rFonts w:ascii="Arial" w:hAnsi="Arial" w:cs="Arial"/>
                <w:color w:val="000000"/>
              </w:rPr>
            </w:pPr>
            <w:r>
              <w:rPr>
                <w:rFonts w:ascii="Arial" w:hAnsi="Arial" w:cs="Arial"/>
                <w:color w:val="000000"/>
              </w:rPr>
              <w:t>0.221333</w:t>
            </w:r>
          </w:p>
        </w:tc>
        <w:tc>
          <w:tcPr>
            <w:tcW w:w="1701" w:type="dxa"/>
            <w:vAlign w:val="bottom"/>
          </w:tcPr>
          <w:p w:rsidR="000C075A" w:rsidRDefault="000C075A" w:rsidP="00EF4AE9">
            <w:pPr>
              <w:rPr>
                <w:rFonts w:ascii="Arial" w:hAnsi="Arial" w:cs="Arial"/>
                <w:color w:val="000000"/>
              </w:rPr>
            </w:pPr>
            <w:r>
              <w:rPr>
                <w:rFonts w:ascii="Arial" w:hAnsi="Arial" w:cs="Arial"/>
                <w:color w:val="000000"/>
              </w:rPr>
              <w:t>0.160428</w:t>
            </w:r>
          </w:p>
        </w:tc>
        <w:tc>
          <w:tcPr>
            <w:tcW w:w="1701" w:type="dxa"/>
            <w:vAlign w:val="bottom"/>
          </w:tcPr>
          <w:p w:rsidR="000C075A" w:rsidRDefault="000C075A" w:rsidP="00EF4AE9">
            <w:pPr>
              <w:rPr>
                <w:rFonts w:ascii="Arial" w:hAnsi="Arial" w:cs="Arial"/>
                <w:color w:val="000000"/>
              </w:rPr>
            </w:pPr>
            <w:r>
              <w:rPr>
                <w:rFonts w:ascii="Arial" w:hAnsi="Arial" w:cs="Arial"/>
                <w:color w:val="000000"/>
              </w:rPr>
              <w:t>0.062201</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1973</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0.175966</w:t>
            </w:r>
          </w:p>
        </w:tc>
        <w:tc>
          <w:tcPr>
            <w:tcW w:w="1701" w:type="dxa"/>
            <w:vAlign w:val="bottom"/>
          </w:tcPr>
          <w:p w:rsidR="000C075A" w:rsidRDefault="000C075A" w:rsidP="00EF4AE9">
            <w:pPr>
              <w:rPr>
                <w:rFonts w:ascii="Arial" w:hAnsi="Arial" w:cs="Arial"/>
                <w:color w:val="000000"/>
              </w:rPr>
            </w:pPr>
            <w:r>
              <w:rPr>
                <w:rFonts w:ascii="Arial" w:hAnsi="Arial" w:cs="Arial"/>
                <w:color w:val="000000"/>
              </w:rPr>
              <w:t>0.174672</w:t>
            </w:r>
          </w:p>
        </w:tc>
        <w:tc>
          <w:tcPr>
            <w:tcW w:w="1701" w:type="dxa"/>
            <w:vAlign w:val="bottom"/>
          </w:tcPr>
          <w:p w:rsidR="000C075A" w:rsidRDefault="000C075A" w:rsidP="00EF4AE9">
            <w:pPr>
              <w:rPr>
                <w:rFonts w:ascii="Arial" w:hAnsi="Arial" w:cs="Arial"/>
                <w:color w:val="000000"/>
              </w:rPr>
            </w:pPr>
            <w:r>
              <w:rPr>
                <w:rFonts w:ascii="Arial" w:hAnsi="Arial" w:cs="Arial"/>
                <w:color w:val="000000"/>
              </w:rPr>
              <w:t>0.242396</w:t>
            </w:r>
          </w:p>
        </w:tc>
        <w:tc>
          <w:tcPr>
            <w:tcW w:w="1701" w:type="dxa"/>
            <w:vAlign w:val="bottom"/>
          </w:tcPr>
          <w:p w:rsidR="000C075A" w:rsidRDefault="000C075A" w:rsidP="00EF4AE9">
            <w:pPr>
              <w:rPr>
                <w:rFonts w:ascii="Arial" w:hAnsi="Arial" w:cs="Arial"/>
                <w:color w:val="000000"/>
              </w:rPr>
            </w:pPr>
            <w:r>
              <w:rPr>
                <w:rFonts w:ascii="Arial" w:hAnsi="Arial" w:cs="Arial"/>
                <w:color w:val="000000"/>
              </w:rPr>
              <w:t>0.11036</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1974</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0.131387</w:t>
            </w:r>
          </w:p>
        </w:tc>
        <w:tc>
          <w:tcPr>
            <w:tcW w:w="1701" w:type="dxa"/>
            <w:vAlign w:val="bottom"/>
          </w:tcPr>
          <w:p w:rsidR="000C075A" w:rsidRDefault="000C075A" w:rsidP="00EF4AE9">
            <w:pPr>
              <w:rPr>
                <w:rFonts w:ascii="Arial" w:hAnsi="Arial" w:cs="Arial"/>
                <w:color w:val="000000"/>
              </w:rPr>
            </w:pPr>
            <w:r>
              <w:rPr>
                <w:rFonts w:ascii="Arial" w:hAnsi="Arial" w:cs="Arial"/>
                <w:color w:val="000000"/>
              </w:rPr>
              <w:t>0.087361</w:t>
            </w:r>
          </w:p>
        </w:tc>
        <w:tc>
          <w:tcPr>
            <w:tcW w:w="1701" w:type="dxa"/>
            <w:vAlign w:val="bottom"/>
          </w:tcPr>
          <w:p w:rsidR="000C075A" w:rsidRDefault="000C075A" w:rsidP="00EF4AE9">
            <w:pPr>
              <w:rPr>
                <w:rFonts w:ascii="Arial" w:hAnsi="Arial" w:cs="Arial"/>
                <w:color w:val="000000"/>
              </w:rPr>
            </w:pPr>
            <w:r>
              <w:rPr>
                <w:rFonts w:ascii="Arial" w:hAnsi="Arial" w:cs="Arial"/>
                <w:color w:val="000000"/>
              </w:rPr>
              <w:t>0.16543</w:t>
            </w:r>
          </w:p>
        </w:tc>
        <w:tc>
          <w:tcPr>
            <w:tcW w:w="1701" w:type="dxa"/>
            <w:vAlign w:val="bottom"/>
          </w:tcPr>
          <w:p w:rsidR="000C075A" w:rsidRDefault="000C075A" w:rsidP="00EF4AE9">
            <w:pPr>
              <w:rPr>
                <w:rFonts w:ascii="Arial" w:hAnsi="Arial" w:cs="Arial"/>
                <w:color w:val="000000"/>
              </w:rPr>
            </w:pPr>
            <w:r>
              <w:rPr>
                <w:rFonts w:ascii="Arial" w:hAnsi="Arial" w:cs="Arial"/>
                <w:color w:val="000000"/>
              </w:rPr>
              <w:t>0.091278</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1975</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0.13871</w:t>
            </w:r>
          </w:p>
        </w:tc>
        <w:tc>
          <w:tcPr>
            <w:tcW w:w="1701" w:type="dxa"/>
            <w:vAlign w:val="bottom"/>
          </w:tcPr>
          <w:p w:rsidR="000C075A" w:rsidRDefault="000C075A" w:rsidP="00EF4AE9">
            <w:pPr>
              <w:rPr>
                <w:rFonts w:ascii="Arial" w:hAnsi="Arial" w:cs="Arial"/>
                <w:color w:val="000000"/>
              </w:rPr>
            </w:pPr>
            <w:r>
              <w:rPr>
                <w:rFonts w:ascii="Arial" w:hAnsi="Arial" w:cs="Arial"/>
                <w:color w:val="000000"/>
              </w:rPr>
              <w:t>0.094017</w:t>
            </w:r>
          </w:p>
        </w:tc>
        <w:tc>
          <w:tcPr>
            <w:tcW w:w="1701" w:type="dxa"/>
            <w:vAlign w:val="bottom"/>
          </w:tcPr>
          <w:p w:rsidR="000C075A" w:rsidRDefault="000C075A" w:rsidP="00EF4AE9">
            <w:pPr>
              <w:rPr>
                <w:rFonts w:ascii="Arial" w:hAnsi="Arial" w:cs="Arial"/>
                <w:color w:val="000000"/>
              </w:rPr>
            </w:pPr>
            <w:r>
              <w:rPr>
                <w:rFonts w:ascii="Arial" w:hAnsi="Arial" w:cs="Arial"/>
                <w:color w:val="000000"/>
              </w:rPr>
              <w:t>0.158498</w:t>
            </w:r>
          </w:p>
        </w:tc>
        <w:tc>
          <w:tcPr>
            <w:tcW w:w="1701" w:type="dxa"/>
            <w:vAlign w:val="bottom"/>
          </w:tcPr>
          <w:p w:rsidR="000C075A" w:rsidRDefault="000C075A" w:rsidP="00EF4AE9">
            <w:pPr>
              <w:rPr>
                <w:rFonts w:ascii="Arial" w:hAnsi="Arial" w:cs="Arial"/>
                <w:color w:val="000000"/>
              </w:rPr>
            </w:pPr>
            <w:r>
              <w:rPr>
                <w:rFonts w:ascii="Arial" w:hAnsi="Arial" w:cs="Arial"/>
                <w:color w:val="000000"/>
              </w:rPr>
              <w:t>0.057621</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1976</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0.082153</w:t>
            </w:r>
          </w:p>
        </w:tc>
        <w:tc>
          <w:tcPr>
            <w:tcW w:w="1701" w:type="dxa"/>
            <w:vAlign w:val="bottom"/>
          </w:tcPr>
          <w:p w:rsidR="000C075A" w:rsidRDefault="000C075A" w:rsidP="00EF4AE9">
            <w:pPr>
              <w:rPr>
                <w:rFonts w:ascii="Arial" w:hAnsi="Arial" w:cs="Arial"/>
                <w:color w:val="000000"/>
              </w:rPr>
            </w:pPr>
            <w:r>
              <w:rPr>
                <w:rFonts w:ascii="Arial" w:hAnsi="Arial" w:cs="Arial"/>
                <w:color w:val="000000"/>
              </w:rPr>
              <w:t>0.045313</w:t>
            </w:r>
          </w:p>
        </w:tc>
        <w:tc>
          <w:tcPr>
            <w:tcW w:w="1701" w:type="dxa"/>
            <w:vAlign w:val="bottom"/>
          </w:tcPr>
          <w:p w:rsidR="000C075A" w:rsidRDefault="000C075A" w:rsidP="00EF4AE9">
            <w:pPr>
              <w:rPr>
                <w:rFonts w:ascii="Arial" w:hAnsi="Arial" w:cs="Arial"/>
                <w:color w:val="000000"/>
              </w:rPr>
            </w:pPr>
            <w:r>
              <w:rPr>
                <w:rFonts w:ascii="Arial" w:hAnsi="Arial" w:cs="Arial"/>
                <w:color w:val="000000"/>
              </w:rPr>
              <w:t>0.082967</w:t>
            </w:r>
          </w:p>
        </w:tc>
        <w:tc>
          <w:tcPr>
            <w:tcW w:w="1701" w:type="dxa"/>
            <w:vAlign w:val="bottom"/>
          </w:tcPr>
          <w:p w:rsidR="000C075A" w:rsidRDefault="000C075A" w:rsidP="00EF4AE9">
            <w:pPr>
              <w:rPr>
                <w:rFonts w:ascii="Arial" w:hAnsi="Arial" w:cs="Arial"/>
                <w:color w:val="000000"/>
              </w:rPr>
            </w:pPr>
            <w:r>
              <w:rPr>
                <w:rFonts w:ascii="Arial" w:hAnsi="Arial" w:cs="Arial"/>
                <w:color w:val="000000"/>
              </w:rPr>
              <w:t>0.065026</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1977</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0.081152</w:t>
            </w:r>
          </w:p>
        </w:tc>
        <w:tc>
          <w:tcPr>
            <w:tcW w:w="1701" w:type="dxa"/>
            <w:vAlign w:val="bottom"/>
          </w:tcPr>
          <w:p w:rsidR="000C075A" w:rsidRDefault="000C075A" w:rsidP="00EF4AE9">
            <w:pPr>
              <w:rPr>
                <w:rFonts w:ascii="Arial" w:hAnsi="Arial" w:cs="Arial"/>
                <w:color w:val="000000"/>
              </w:rPr>
            </w:pPr>
            <w:r>
              <w:rPr>
                <w:rFonts w:ascii="Arial" w:hAnsi="Arial" w:cs="Arial"/>
                <w:color w:val="000000"/>
              </w:rPr>
              <w:t>0.035874</w:t>
            </w:r>
          </w:p>
        </w:tc>
        <w:tc>
          <w:tcPr>
            <w:tcW w:w="1701" w:type="dxa"/>
            <w:vAlign w:val="bottom"/>
          </w:tcPr>
          <w:p w:rsidR="000C075A" w:rsidRDefault="000C075A" w:rsidP="00EF4AE9">
            <w:pPr>
              <w:rPr>
                <w:rFonts w:ascii="Arial" w:hAnsi="Arial" w:cs="Arial"/>
                <w:color w:val="000000"/>
              </w:rPr>
            </w:pPr>
            <w:r>
              <w:rPr>
                <w:rFonts w:ascii="Arial" w:hAnsi="Arial" w:cs="Arial"/>
                <w:color w:val="000000"/>
              </w:rPr>
              <w:t>0.133942</w:t>
            </w:r>
          </w:p>
        </w:tc>
        <w:tc>
          <w:tcPr>
            <w:tcW w:w="1701" w:type="dxa"/>
            <w:vAlign w:val="bottom"/>
          </w:tcPr>
          <w:p w:rsidR="000C075A" w:rsidRDefault="000C075A" w:rsidP="00EF4AE9">
            <w:pPr>
              <w:rPr>
                <w:rFonts w:ascii="Arial" w:hAnsi="Arial" w:cs="Arial"/>
                <w:color w:val="000000"/>
              </w:rPr>
            </w:pPr>
            <w:r>
              <w:rPr>
                <w:rFonts w:ascii="Arial" w:hAnsi="Arial" w:cs="Arial"/>
                <w:color w:val="000000"/>
              </w:rPr>
              <w:t>0.075908</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1978</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0.106538</w:t>
            </w:r>
          </w:p>
        </w:tc>
        <w:tc>
          <w:tcPr>
            <w:tcW w:w="1701" w:type="dxa"/>
            <w:vAlign w:val="bottom"/>
          </w:tcPr>
          <w:p w:rsidR="000C075A" w:rsidRDefault="000C075A" w:rsidP="00EF4AE9">
            <w:pPr>
              <w:rPr>
                <w:rFonts w:ascii="Arial" w:hAnsi="Arial" w:cs="Arial"/>
                <w:color w:val="000000"/>
              </w:rPr>
            </w:pPr>
            <w:r>
              <w:rPr>
                <w:rFonts w:ascii="Arial" w:hAnsi="Arial" w:cs="Arial"/>
                <w:color w:val="000000"/>
              </w:rPr>
              <w:t>0.066378</w:t>
            </w:r>
          </w:p>
        </w:tc>
        <w:tc>
          <w:tcPr>
            <w:tcW w:w="1701" w:type="dxa"/>
            <w:vAlign w:val="bottom"/>
          </w:tcPr>
          <w:p w:rsidR="000C075A" w:rsidRDefault="000C075A" w:rsidP="00EF4AE9">
            <w:pPr>
              <w:rPr>
                <w:rFonts w:ascii="Arial" w:hAnsi="Arial" w:cs="Arial"/>
                <w:color w:val="000000"/>
              </w:rPr>
            </w:pPr>
            <w:r>
              <w:rPr>
                <w:rFonts w:ascii="Arial" w:hAnsi="Arial" w:cs="Arial"/>
                <w:color w:val="000000"/>
              </w:rPr>
              <w:t>0.179866</w:t>
            </w:r>
          </w:p>
        </w:tc>
        <w:tc>
          <w:tcPr>
            <w:tcW w:w="1701" w:type="dxa"/>
            <w:vAlign w:val="bottom"/>
          </w:tcPr>
          <w:p w:rsidR="000C075A" w:rsidRDefault="000C075A" w:rsidP="00EF4AE9">
            <w:pPr>
              <w:rPr>
                <w:rFonts w:ascii="Arial" w:hAnsi="Arial" w:cs="Arial"/>
                <w:color w:val="000000"/>
              </w:rPr>
            </w:pPr>
            <w:r>
              <w:rPr>
                <w:rFonts w:ascii="Arial" w:hAnsi="Arial" w:cs="Arial"/>
                <w:color w:val="000000"/>
              </w:rPr>
              <w:t>0.113497</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1979</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0.094092</w:t>
            </w:r>
          </w:p>
        </w:tc>
        <w:tc>
          <w:tcPr>
            <w:tcW w:w="1701" w:type="dxa"/>
            <w:vAlign w:val="bottom"/>
          </w:tcPr>
          <w:p w:rsidR="000C075A" w:rsidRDefault="000C075A" w:rsidP="00EF4AE9">
            <w:pPr>
              <w:rPr>
                <w:rFonts w:ascii="Arial" w:hAnsi="Arial" w:cs="Arial"/>
                <w:color w:val="000000"/>
              </w:rPr>
            </w:pPr>
            <w:r>
              <w:rPr>
                <w:rFonts w:ascii="Arial" w:hAnsi="Arial" w:cs="Arial"/>
                <w:color w:val="000000"/>
              </w:rPr>
              <w:t>0.073072</w:t>
            </w:r>
          </w:p>
        </w:tc>
        <w:tc>
          <w:tcPr>
            <w:tcW w:w="1701" w:type="dxa"/>
            <w:vAlign w:val="bottom"/>
          </w:tcPr>
          <w:p w:rsidR="000C075A" w:rsidRDefault="000C075A" w:rsidP="00EF4AE9">
            <w:pPr>
              <w:rPr>
                <w:rFonts w:ascii="Arial" w:hAnsi="Arial" w:cs="Arial"/>
                <w:color w:val="000000"/>
              </w:rPr>
            </w:pPr>
            <w:r>
              <w:rPr>
                <w:rFonts w:ascii="Arial" w:hAnsi="Arial" w:cs="Arial"/>
                <w:color w:val="000000"/>
              </w:rPr>
              <w:t>0.118695</w:t>
            </w:r>
          </w:p>
        </w:tc>
        <w:tc>
          <w:tcPr>
            <w:tcW w:w="1701" w:type="dxa"/>
            <w:vAlign w:val="bottom"/>
          </w:tcPr>
          <w:p w:rsidR="000C075A" w:rsidRDefault="000C075A" w:rsidP="00EF4AE9">
            <w:pPr>
              <w:rPr>
                <w:rFonts w:ascii="Arial" w:hAnsi="Arial" w:cs="Arial"/>
                <w:color w:val="000000"/>
              </w:rPr>
            </w:pPr>
            <w:r>
              <w:rPr>
                <w:rFonts w:ascii="Arial" w:hAnsi="Arial" w:cs="Arial"/>
                <w:color w:val="000000"/>
              </w:rPr>
              <w:t>0.134986</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1980</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0.106</w:t>
            </w:r>
          </w:p>
        </w:tc>
        <w:tc>
          <w:tcPr>
            <w:tcW w:w="1701" w:type="dxa"/>
            <w:vAlign w:val="bottom"/>
          </w:tcPr>
          <w:p w:rsidR="000C075A" w:rsidRDefault="000C075A" w:rsidP="00EF4AE9">
            <w:pPr>
              <w:rPr>
                <w:rFonts w:ascii="Arial" w:hAnsi="Arial" w:cs="Arial"/>
                <w:color w:val="000000"/>
              </w:rPr>
            </w:pPr>
            <w:r>
              <w:rPr>
                <w:rFonts w:ascii="Arial" w:hAnsi="Arial" w:cs="Arial"/>
                <w:color w:val="000000"/>
              </w:rPr>
              <w:t>0.031526</w:t>
            </w:r>
          </w:p>
        </w:tc>
        <w:tc>
          <w:tcPr>
            <w:tcW w:w="1701" w:type="dxa"/>
            <w:vAlign w:val="bottom"/>
          </w:tcPr>
          <w:p w:rsidR="000C075A" w:rsidRDefault="000C075A" w:rsidP="00EF4AE9">
            <w:pPr>
              <w:rPr>
                <w:rFonts w:ascii="Arial" w:hAnsi="Arial" w:cs="Arial"/>
                <w:color w:val="000000"/>
              </w:rPr>
            </w:pPr>
            <w:r>
              <w:rPr>
                <w:rFonts w:ascii="Arial" w:hAnsi="Arial" w:cs="Arial"/>
                <w:color w:val="000000"/>
              </w:rPr>
              <w:t>-0.25288</w:t>
            </w:r>
          </w:p>
        </w:tc>
        <w:tc>
          <w:tcPr>
            <w:tcW w:w="1701" w:type="dxa"/>
            <w:vAlign w:val="bottom"/>
          </w:tcPr>
          <w:p w:rsidR="000C075A" w:rsidRDefault="000C075A" w:rsidP="00EF4AE9">
            <w:pPr>
              <w:rPr>
                <w:rFonts w:ascii="Arial" w:hAnsi="Arial" w:cs="Arial"/>
                <w:color w:val="000000"/>
              </w:rPr>
            </w:pPr>
            <w:r>
              <w:rPr>
                <w:rFonts w:ascii="Arial" w:hAnsi="Arial" w:cs="Arial"/>
                <w:color w:val="000000"/>
              </w:rPr>
              <w:t>0.103155</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1981</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0.113924</w:t>
            </w:r>
          </w:p>
        </w:tc>
        <w:tc>
          <w:tcPr>
            <w:tcW w:w="1701" w:type="dxa"/>
            <w:vAlign w:val="bottom"/>
          </w:tcPr>
          <w:p w:rsidR="000C075A" w:rsidRDefault="000C075A" w:rsidP="00EF4AE9">
            <w:pPr>
              <w:rPr>
                <w:rFonts w:ascii="Arial" w:hAnsi="Arial" w:cs="Arial"/>
                <w:color w:val="000000"/>
              </w:rPr>
            </w:pPr>
            <w:r>
              <w:rPr>
                <w:rFonts w:ascii="Arial" w:hAnsi="Arial" w:cs="Arial"/>
                <w:color w:val="000000"/>
              </w:rPr>
              <w:t>0.022005</w:t>
            </w:r>
          </w:p>
        </w:tc>
        <w:tc>
          <w:tcPr>
            <w:tcW w:w="1701" w:type="dxa"/>
            <w:vAlign w:val="bottom"/>
          </w:tcPr>
          <w:p w:rsidR="000C075A" w:rsidRDefault="000C075A" w:rsidP="00EF4AE9">
            <w:pPr>
              <w:rPr>
                <w:rFonts w:ascii="Arial" w:hAnsi="Arial" w:cs="Arial"/>
                <w:color w:val="000000"/>
              </w:rPr>
            </w:pPr>
            <w:r>
              <w:rPr>
                <w:rFonts w:ascii="Arial" w:hAnsi="Arial" w:cs="Arial"/>
                <w:color w:val="000000"/>
              </w:rPr>
              <w:t>0.520417</w:t>
            </w:r>
          </w:p>
        </w:tc>
        <w:tc>
          <w:tcPr>
            <w:tcW w:w="1701" w:type="dxa"/>
            <w:vAlign w:val="bottom"/>
          </w:tcPr>
          <w:p w:rsidR="000C075A" w:rsidRDefault="000C075A" w:rsidP="00EF4AE9">
            <w:pPr>
              <w:rPr>
                <w:rFonts w:ascii="Arial" w:hAnsi="Arial" w:cs="Arial"/>
                <w:color w:val="000000"/>
              </w:rPr>
            </w:pPr>
            <w:r>
              <w:rPr>
                <w:rFonts w:ascii="Arial" w:hAnsi="Arial" w:cs="Arial"/>
                <w:color w:val="000000"/>
              </w:rPr>
              <w:t>0.061606</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1982</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0.058442</w:t>
            </w:r>
          </w:p>
        </w:tc>
        <w:tc>
          <w:tcPr>
            <w:tcW w:w="1701" w:type="dxa"/>
            <w:vAlign w:val="bottom"/>
          </w:tcPr>
          <w:p w:rsidR="000C075A" w:rsidRDefault="000C075A" w:rsidP="00EF4AE9">
            <w:pPr>
              <w:rPr>
                <w:rFonts w:ascii="Arial" w:hAnsi="Arial" w:cs="Arial"/>
                <w:color w:val="000000"/>
              </w:rPr>
            </w:pPr>
            <w:r>
              <w:rPr>
                <w:rFonts w:ascii="Arial" w:hAnsi="Arial" w:cs="Arial"/>
                <w:color w:val="000000"/>
              </w:rPr>
              <w:t>0.019139</w:t>
            </w:r>
          </w:p>
        </w:tc>
        <w:tc>
          <w:tcPr>
            <w:tcW w:w="1701" w:type="dxa"/>
            <w:vAlign w:val="bottom"/>
          </w:tcPr>
          <w:p w:rsidR="000C075A" w:rsidRDefault="000C075A" w:rsidP="00EF4AE9">
            <w:pPr>
              <w:rPr>
                <w:rFonts w:ascii="Arial" w:hAnsi="Arial" w:cs="Arial"/>
                <w:color w:val="000000"/>
              </w:rPr>
            </w:pPr>
            <w:r>
              <w:rPr>
                <w:rFonts w:ascii="Arial" w:hAnsi="Arial" w:cs="Arial"/>
                <w:color w:val="000000"/>
              </w:rPr>
              <w:t>0.049836</w:t>
            </w:r>
          </w:p>
        </w:tc>
        <w:tc>
          <w:tcPr>
            <w:tcW w:w="1701" w:type="dxa"/>
            <w:vAlign w:val="bottom"/>
          </w:tcPr>
          <w:p w:rsidR="000C075A" w:rsidRDefault="000C075A" w:rsidP="00EF4AE9">
            <w:pPr>
              <w:rPr>
                <w:rFonts w:ascii="Arial" w:hAnsi="Arial" w:cs="Arial"/>
                <w:color w:val="000000"/>
              </w:rPr>
            </w:pPr>
            <w:r>
              <w:rPr>
                <w:rFonts w:ascii="Arial" w:hAnsi="Arial" w:cs="Arial"/>
                <w:color w:val="000000"/>
              </w:rPr>
              <w:t>0.032124</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1983</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0.044479</w:t>
            </w:r>
          </w:p>
        </w:tc>
        <w:tc>
          <w:tcPr>
            <w:tcW w:w="1701" w:type="dxa"/>
            <w:vAlign w:val="bottom"/>
          </w:tcPr>
          <w:p w:rsidR="000C075A" w:rsidRDefault="000C075A" w:rsidP="00EF4AE9">
            <w:pPr>
              <w:rPr>
                <w:rFonts w:ascii="Arial" w:hAnsi="Arial" w:cs="Arial"/>
                <w:color w:val="000000"/>
              </w:rPr>
            </w:pPr>
            <w:r>
              <w:rPr>
                <w:rFonts w:ascii="Arial" w:hAnsi="Arial" w:cs="Arial"/>
                <w:color w:val="000000"/>
              </w:rPr>
              <w:t>0.026995</w:t>
            </w:r>
          </w:p>
        </w:tc>
        <w:tc>
          <w:tcPr>
            <w:tcW w:w="1701" w:type="dxa"/>
            <w:vAlign w:val="bottom"/>
          </w:tcPr>
          <w:p w:rsidR="000C075A" w:rsidRDefault="000C075A" w:rsidP="00EF4AE9">
            <w:pPr>
              <w:rPr>
                <w:rFonts w:ascii="Arial" w:hAnsi="Arial" w:cs="Arial"/>
                <w:color w:val="000000"/>
              </w:rPr>
            </w:pPr>
            <w:r>
              <w:rPr>
                <w:rFonts w:ascii="Arial" w:hAnsi="Arial" w:cs="Arial"/>
                <w:color w:val="000000"/>
              </w:rPr>
              <w:t>0.06083</w:t>
            </w:r>
          </w:p>
        </w:tc>
        <w:tc>
          <w:tcPr>
            <w:tcW w:w="1701" w:type="dxa"/>
            <w:vAlign w:val="bottom"/>
          </w:tcPr>
          <w:p w:rsidR="000C075A" w:rsidRDefault="000C075A" w:rsidP="00EF4AE9">
            <w:pPr>
              <w:rPr>
                <w:rFonts w:ascii="Arial" w:hAnsi="Arial" w:cs="Arial"/>
                <w:color w:val="000000"/>
              </w:rPr>
            </w:pPr>
            <w:r>
              <w:rPr>
                <w:rFonts w:ascii="Arial" w:hAnsi="Arial" w:cs="Arial"/>
                <w:color w:val="000000"/>
              </w:rPr>
              <w:t>0.043173</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1984</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0.092511</w:t>
            </w:r>
          </w:p>
        </w:tc>
        <w:tc>
          <w:tcPr>
            <w:tcW w:w="1701" w:type="dxa"/>
            <w:vAlign w:val="bottom"/>
          </w:tcPr>
          <w:p w:rsidR="000C075A" w:rsidRDefault="000C075A" w:rsidP="00EF4AE9">
            <w:pPr>
              <w:rPr>
                <w:rFonts w:ascii="Arial" w:hAnsi="Arial" w:cs="Arial"/>
                <w:color w:val="000000"/>
              </w:rPr>
            </w:pPr>
            <w:r>
              <w:rPr>
                <w:rFonts w:ascii="Arial" w:hAnsi="Arial" w:cs="Arial"/>
                <w:color w:val="000000"/>
              </w:rPr>
              <w:t>0.014857</w:t>
            </w:r>
          </w:p>
        </w:tc>
        <w:tc>
          <w:tcPr>
            <w:tcW w:w="1701" w:type="dxa"/>
            <w:vAlign w:val="bottom"/>
          </w:tcPr>
          <w:p w:rsidR="000C075A" w:rsidRDefault="000C075A" w:rsidP="00EF4AE9">
            <w:pPr>
              <w:rPr>
                <w:rFonts w:ascii="Arial" w:hAnsi="Arial" w:cs="Arial"/>
                <w:color w:val="000000"/>
              </w:rPr>
            </w:pPr>
            <w:r>
              <w:rPr>
                <w:rFonts w:ascii="Arial" w:hAnsi="Arial" w:cs="Arial"/>
                <w:color w:val="000000"/>
              </w:rPr>
              <w:t>0.03403</w:t>
            </w:r>
          </w:p>
        </w:tc>
        <w:tc>
          <w:tcPr>
            <w:tcW w:w="1701" w:type="dxa"/>
            <w:vAlign w:val="bottom"/>
          </w:tcPr>
          <w:p w:rsidR="000C075A" w:rsidRDefault="000C075A" w:rsidP="00EF4AE9">
            <w:pPr>
              <w:rPr>
                <w:rFonts w:ascii="Arial" w:hAnsi="Arial" w:cs="Arial"/>
                <w:color w:val="000000"/>
              </w:rPr>
            </w:pPr>
            <w:r>
              <w:rPr>
                <w:rFonts w:ascii="Arial" w:hAnsi="Arial" w:cs="Arial"/>
                <w:color w:val="000000"/>
              </w:rPr>
              <w:t>0.035611</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1985</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0.094086</w:t>
            </w:r>
          </w:p>
        </w:tc>
        <w:tc>
          <w:tcPr>
            <w:tcW w:w="1701" w:type="dxa"/>
            <w:vAlign w:val="bottom"/>
          </w:tcPr>
          <w:p w:rsidR="000C075A" w:rsidRDefault="000C075A" w:rsidP="00EF4AE9">
            <w:pPr>
              <w:rPr>
                <w:rFonts w:ascii="Arial" w:hAnsi="Arial" w:cs="Arial"/>
                <w:color w:val="000000"/>
              </w:rPr>
            </w:pPr>
            <w:r>
              <w:rPr>
                <w:rFonts w:ascii="Arial" w:hAnsi="Arial" w:cs="Arial"/>
                <w:color w:val="000000"/>
              </w:rPr>
              <w:t>-0.01126</w:t>
            </w:r>
          </w:p>
        </w:tc>
        <w:tc>
          <w:tcPr>
            <w:tcW w:w="1701" w:type="dxa"/>
            <w:vAlign w:val="bottom"/>
          </w:tcPr>
          <w:p w:rsidR="000C075A" w:rsidRDefault="000C075A" w:rsidP="00EF4AE9">
            <w:pPr>
              <w:rPr>
                <w:rFonts w:ascii="Arial" w:hAnsi="Arial" w:cs="Arial"/>
                <w:color w:val="000000"/>
              </w:rPr>
            </w:pPr>
            <w:r>
              <w:rPr>
                <w:rFonts w:ascii="Arial" w:hAnsi="Arial" w:cs="Arial"/>
                <w:color w:val="000000"/>
              </w:rPr>
              <w:t>0.041721</w:t>
            </w:r>
          </w:p>
        </w:tc>
        <w:tc>
          <w:tcPr>
            <w:tcW w:w="1701" w:type="dxa"/>
            <w:vAlign w:val="bottom"/>
          </w:tcPr>
          <w:p w:rsidR="000C075A" w:rsidRDefault="000C075A" w:rsidP="00EF4AE9">
            <w:pPr>
              <w:rPr>
                <w:rFonts w:ascii="Arial" w:hAnsi="Arial" w:cs="Arial"/>
                <w:color w:val="000000"/>
              </w:rPr>
            </w:pPr>
            <w:r>
              <w:rPr>
                <w:rFonts w:ascii="Arial" w:hAnsi="Arial" w:cs="Arial"/>
                <w:color w:val="000000"/>
              </w:rPr>
              <w:t>0.015799</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1986</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0.068796</w:t>
            </w:r>
          </w:p>
        </w:tc>
        <w:tc>
          <w:tcPr>
            <w:tcW w:w="1701" w:type="dxa"/>
            <w:vAlign w:val="bottom"/>
          </w:tcPr>
          <w:p w:rsidR="000C075A" w:rsidRDefault="000C075A" w:rsidP="00EF4AE9">
            <w:pPr>
              <w:rPr>
                <w:rFonts w:ascii="Arial" w:hAnsi="Arial" w:cs="Arial"/>
                <w:color w:val="000000"/>
              </w:rPr>
            </w:pPr>
            <w:r>
              <w:rPr>
                <w:rFonts w:ascii="Arial" w:hAnsi="Arial" w:cs="Arial"/>
                <w:color w:val="000000"/>
              </w:rPr>
              <w:t>0.009112</w:t>
            </w:r>
          </w:p>
        </w:tc>
        <w:tc>
          <w:tcPr>
            <w:tcW w:w="1701" w:type="dxa"/>
            <w:vAlign w:val="bottom"/>
          </w:tcPr>
          <w:p w:rsidR="000C075A" w:rsidRDefault="000C075A" w:rsidP="00EF4AE9">
            <w:pPr>
              <w:rPr>
                <w:rFonts w:ascii="Arial" w:hAnsi="Arial" w:cs="Arial"/>
                <w:color w:val="000000"/>
              </w:rPr>
            </w:pPr>
            <w:r>
              <w:rPr>
                <w:rFonts w:ascii="Arial" w:hAnsi="Arial" w:cs="Arial"/>
                <w:color w:val="000000"/>
              </w:rPr>
              <w:t>0.049005</w:t>
            </w:r>
          </w:p>
        </w:tc>
        <w:tc>
          <w:tcPr>
            <w:tcW w:w="1701" w:type="dxa"/>
            <w:vAlign w:val="bottom"/>
          </w:tcPr>
          <w:p w:rsidR="000C075A" w:rsidRDefault="000C075A" w:rsidP="00EF4AE9">
            <w:pPr>
              <w:rPr>
                <w:rFonts w:ascii="Arial" w:hAnsi="Arial" w:cs="Arial"/>
                <w:color w:val="000000"/>
              </w:rPr>
            </w:pPr>
            <w:r>
              <w:rPr>
                <w:rFonts w:ascii="Arial" w:hAnsi="Arial" w:cs="Arial"/>
                <w:color w:val="000000"/>
              </w:rPr>
              <w:t>0.039341</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1987</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0.067816</w:t>
            </w:r>
          </w:p>
        </w:tc>
        <w:tc>
          <w:tcPr>
            <w:tcW w:w="1701" w:type="dxa"/>
            <w:vAlign w:val="bottom"/>
          </w:tcPr>
          <w:p w:rsidR="000C075A" w:rsidRDefault="000C075A" w:rsidP="00EF4AE9">
            <w:pPr>
              <w:rPr>
                <w:rFonts w:ascii="Arial" w:hAnsi="Arial" w:cs="Arial"/>
                <w:color w:val="000000"/>
              </w:rPr>
            </w:pPr>
            <w:r>
              <w:rPr>
                <w:rFonts w:ascii="Arial" w:hAnsi="Arial" w:cs="Arial"/>
                <w:color w:val="000000"/>
              </w:rPr>
              <w:t>0.011287</w:t>
            </w:r>
          </w:p>
        </w:tc>
        <w:tc>
          <w:tcPr>
            <w:tcW w:w="1701" w:type="dxa"/>
            <w:vAlign w:val="bottom"/>
          </w:tcPr>
          <w:p w:rsidR="000C075A" w:rsidRDefault="000C075A" w:rsidP="00EF4AE9">
            <w:pPr>
              <w:rPr>
                <w:rFonts w:ascii="Arial" w:hAnsi="Arial" w:cs="Arial"/>
                <w:color w:val="000000"/>
              </w:rPr>
            </w:pPr>
            <w:r>
              <w:rPr>
                <w:rFonts w:ascii="Arial" w:hAnsi="Arial" w:cs="Arial"/>
                <w:color w:val="000000"/>
              </w:rPr>
              <w:t>0.07778</w:t>
            </w:r>
          </w:p>
        </w:tc>
        <w:tc>
          <w:tcPr>
            <w:tcW w:w="1701" w:type="dxa"/>
            <w:vAlign w:val="bottom"/>
          </w:tcPr>
          <w:p w:rsidR="000C075A" w:rsidRDefault="000C075A" w:rsidP="00EF4AE9">
            <w:pPr>
              <w:rPr>
                <w:rFonts w:ascii="Arial" w:hAnsi="Arial" w:cs="Arial"/>
                <w:color w:val="000000"/>
              </w:rPr>
            </w:pPr>
            <w:r>
              <w:rPr>
                <w:rFonts w:ascii="Arial" w:hAnsi="Arial" w:cs="Arial"/>
                <w:color w:val="000000"/>
              </w:rPr>
              <w:t>0.041373</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1988</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0.086114</w:t>
            </w:r>
          </w:p>
        </w:tc>
        <w:tc>
          <w:tcPr>
            <w:tcW w:w="1701" w:type="dxa"/>
            <w:vAlign w:val="bottom"/>
          </w:tcPr>
          <w:p w:rsidR="000C075A" w:rsidRDefault="000C075A" w:rsidP="00EF4AE9">
            <w:pPr>
              <w:rPr>
                <w:rFonts w:ascii="Arial" w:hAnsi="Arial" w:cs="Arial"/>
                <w:color w:val="000000"/>
              </w:rPr>
            </w:pPr>
            <w:r>
              <w:rPr>
                <w:rFonts w:ascii="Arial" w:hAnsi="Arial" w:cs="Arial"/>
                <w:color w:val="000000"/>
              </w:rPr>
              <w:t>0.032366</w:t>
            </w:r>
          </w:p>
        </w:tc>
        <w:tc>
          <w:tcPr>
            <w:tcW w:w="1701" w:type="dxa"/>
            <w:vAlign w:val="bottom"/>
          </w:tcPr>
          <w:p w:rsidR="000C075A" w:rsidRDefault="000C075A" w:rsidP="00EF4AE9">
            <w:pPr>
              <w:rPr>
                <w:rFonts w:ascii="Arial" w:hAnsi="Arial" w:cs="Arial"/>
                <w:color w:val="000000"/>
              </w:rPr>
            </w:pPr>
            <w:r>
              <w:rPr>
                <w:rFonts w:ascii="Arial" w:hAnsi="Arial" w:cs="Arial"/>
                <w:color w:val="000000"/>
              </w:rPr>
              <w:t>0.094609</w:t>
            </w:r>
          </w:p>
        </w:tc>
        <w:tc>
          <w:tcPr>
            <w:tcW w:w="1701" w:type="dxa"/>
            <w:vAlign w:val="bottom"/>
          </w:tcPr>
          <w:p w:rsidR="000C075A" w:rsidRDefault="000C075A" w:rsidP="00EF4AE9">
            <w:pPr>
              <w:rPr>
                <w:rFonts w:ascii="Arial" w:hAnsi="Arial" w:cs="Arial"/>
                <w:color w:val="000000"/>
              </w:rPr>
            </w:pPr>
            <w:r>
              <w:rPr>
                <w:rFonts w:ascii="Arial" w:hAnsi="Arial" w:cs="Arial"/>
                <w:color w:val="000000"/>
              </w:rPr>
              <w:t>0.048183</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1989</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0.048563</w:t>
            </w:r>
          </w:p>
        </w:tc>
        <w:tc>
          <w:tcPr>
            <w:tcW w:w="1701" w:type="dxa"/>
            <w:vAlign w:val="bottom"/>
          </w:tcPr>
          <w:p w:rsidR="000C075A" w:rsidRDefault="000C075A" w:rsidP="00EF4AE9">
            <w:pPr>
              <w:rPr>
                <w:rFonts w:ascii="Arial" w:hAnsi="Arial" w:cs="Arial"/>
                <w:color w:val="000000"/>
              </w:rPr>
            </w:pPr>
            <w:r>
              <w:rPr>
                <w:rFonts w:ascii="Arial" w:hAnsi="Arial" w:cs="Arial"/>
                <w:color w:val="000000"/>
              </w:rPr>
              <w:t>0.04</w:t>
            </w:r>
          </w:p>
        </w:tc>
        <w:tc>
          <w:tcPr>
            <w:tcW w:w="1701" w:type="dxa"/>
            <w:vAlign w:val="bottom"/>
          </w:tcPr>
          <w:p w:rsidR="000C075A" w:rsidRDefault="000C075A" w:rsidP="00EF4AE9">
            <w:pPr>
              <w:rPr>
                <w:rFonts w:ascii="Arial" w:hAnsi="Arial" w:cs="Arial"/>
                <w:color w:val="000000"/>
              </w:rPr>
            </w:pPr>
            <w:r>
              <w:rPr>
                <w:rFonts w:ascii="Arial" w:hAnsi="Arial" w:cs="Arial"/>
                <w:color w:val="000000"/>
              </w:rPr>
              <w:t>0.058693</w:t>
            </w:r>
          </w:p>
        </w:tc>
        <w:tc>
          <w:tcPr>
            <w:tcW w:w="1701" w:type="dxa"/>
            <w:vAlign w:val="bottom"/>
          </w:tcPr>
          <w:p w:rsidR="000C075A" w:rsidRDefault="000C075A" w:rsidP="00EF4AE9">
            <w:pPr>
              <w:rPr>
                <w:rFonts w:ascii="Arial" w:hAnsi="Arial" w:cs="Arial"/>
                <w:color w:val="000000"/>
              </w:rPr>
            </w:pPr>
            <w:r>
              <w:rPr>
                <w:rFonts w:ascii="Arial" w:hAnsi="Arial" w:cs="Arial"/>
                <w:color w:val="000000"/>
              </w:rPr>
              <w:t>0.054032</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1990</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0.017013</w:t>
            </w:r>
          </w:p>
        </w:tc>
        <w:tc>
          <w:tcPr>
            <w:tcW w:w="1701" w:type="dxa"/>
            <w:vAlign w:val="bottom"/>
          </w:tcPr>
          <w:p w:rsidR="000C075A" w:rsidRDefault="000C075A" w:rsidP="00EF4AE9">
            <w:pPr>
              <w:rPr>
                <w:rFonts w:ascii="Arial" w:hAnsi="Arial" w:cs="Arial"/>
                <w:color w:val="000000"/>
              </w:rPr>
            </w:pPr>
            <w:r>
              <w:rPr>
                <w:rFonts w:ascii="Arial" w:hAnsi="Arial" w:cs="Arial"/>
                <w:color w:val="000000"/>
              </w:rPr>
              <w:t>0.017672</w:t>
            </w:r>
          </w:p>
        </w:tc>
        <w:tc>
          <w:tcPr>
            <w:tcW w:w="1701" w:type="dxa"/>
            <w:vAlign w:val="bottom"/>
          </w:tcPr>
          <w:p w:rsidR="000C075A" w:rsidRDefault="000C075A" w:rsidP="00EF4AE9">
            <w:pPr>
              <w:rPr>
                <w:rFonts w:ascii="Arial" w:hAnsi="Arial" w:cs="Arial"/>
                <w:color w:val="000000"/>
              </w:rPr>
            </w:pPr>
            <w:r>
              <w:rPr>
                <w:rFonts w:ascii="Arial" w:hAnsi="Arial" w:cs="Arial"/>
                <w:color w:val="000000"/>
              </w:rPr>
              <w:t>0.037403</w:t>
            </w:r>
          </w:p>
        </w:tc>
        <w:tc>
          <w:tcPr>
            <w:tcW w:w="1701" w:type="dxa"/>
            <w:vAlign w:val="bottom"/>
          </w:tcPr>
          <w:p w:rsidR="000C075A" w:rsidRDefault="000C075A" w:rsidP="00EF4AE9">
            <w:pPr>
              <w:rPr>
                <w:rFonts w:ascii="Arial" w:hAnsi="Arial" w:cs="Arial"/>
                <w:color w:val="000000"/>
              </w:rPr>
            </w:pPr>
            <w:r>
              <w:rPr>
                <w:rFonts w:ascii="Arial" w:hAnsi="Arial" w:cs="Arial"/>
                <w:color w:val="000000"/>
              </w:rPr>
              <w:t>0.042081</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1991</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0.012082</w:t>
            </w:r>
          </w:p>
        </w:tc>
        <w:tc>
          <w:tcPr>
            <w:tcW w:w="1701" w:type="dxa"/>
            <w:vAlign w:val="bottom"/>
          </w:tcPr>
          <w:p w:rsidR="000C075A" w:rsidRDefault="000C075A" w:rsidP="00EF4AE9">
            <w:pPr>
              <w:rPr>
                <w:rFonts w:ascii="Arial" w:hAnsi="Arial" w:cs="Arial"/>
                <w:color w:val="000000"/>
              </w:rPr>
            </w:pPr>
            <w:r>
              <w:rPr>
                <w:rFonts w:ascii="Arial" w:hAnsi="Arial" w:cs="Arial"/>
                <w:color w:val="000000"/>
              </w:rPr>
              <w:t>0.012257</w:t>
            </w:r>
          </w:p>
        </w:tc>
        <w:tc>
          <w:tcPr>
            <w:tcW w:w="1701" w:type="dxa"/>
            <w:vAlign w:val="bottom"/>
          </w:tcPr>
          <w:p w:rsidR="000C075A" w:rsidRDefault="000C075A" w:rsidP="00EF4AE9">
            <w:pPr>
              <w:rPr>
                <w:rFonts w:ascii="Arial" w:hAnsi="Arial" w:cs="Arial"/>
                <w:color w:val="000000"/>
              </w:rPr>
            </w:pPr>
            <w:r>
              <w:rPr>
                <w:rFonts w:ascii="Arial" w:hAnsi="Arial" w:cs="Arial"/>
                <w:color w:val="000000"/>
              </w:rPr>
              <w:t>0.015922</w:t>
            </w:r>
          </w:p>
        </w:tc>
        <w:tc>
          <w:tcPr>
            <w:tcW w:w="1701" w:type="dxa"/>
            <w:vAlign w:val="bottom"/>
          </w:tcPr>
          <w:p w:rsidR="000C075A" w:rsidRDefault="000C075A" w:rsidP="00EF4AE9">
            <w:pPr>
              <w:rPr>
                <w:rFonts w:ascii="Arial" w:hAnsi="Arial" w:cs="Arial"/>
                <w:color w:val="000000"/>
              </w:rPr>
            </w:pPr>
            <w:r>
              <w:rPr>
                <w:rFonts w:ascii="Arial" w:hAnsi="Arial" w:cs="Arial"/>
                <w:color w:val="000000"/>
              </w:rPr>
              <w:t>0.030103</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1992</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0.013774</w:t>
            </w:r>
          </w:p>
        </w:tc>
        <w:tc>
          <w:tcPr>
            <w:tcW w:w="1701" w:type="dxa"/>
            <w:vAlign w:val="bottom"/>
          </w:tcPr>
          <w:p w:rsidR="000C075A" w:rsidRDefault="000C075A" w:rsidP="00EF4AE9">
            <w:pPr>
              <w:rPr>
                <w:rFonts w:ascii="Arial" w:hAnsi="Arial" w:cs="Arial"/>
                <w:color w:val="000000"/>
              </w:rPr>
            </w:pPr>
            <w:r>
              <w:rPr>
                <w:rFonts w:ascii="Arial" w:hAnsi="Arial" w:cs="Arial"/>
                <w:color w:val="000000"/>
              </w:rPr>
              <w:t>0.013118</w:t>
            </w:r>
          </w:p>
        </w:tc>
        <w:tc>
          <w:tcPr>
            <w:tcW w:w="1701" w:type="dxa"/>
            <w:vAlign w:val="bottom"/>
          </w:tcPr>
          <w:p w:rsidR="000C075A" w:rsidRDefault="000C075A" w:rsidP="00EF4AE9">
            <w:pPr>
              <w:rPr>
                <w:rFonts w:ascii="Arial" w:hAnsi="Arial" w:cs="Arial"/>
                <w:color w:val="000000"/>
              </w:rPr>
            </w:pPr>
            <w:r>
              <w:rPr>
                <w:rFonts w:ascii="Arial" w:hAnsi="Arial" w:cs="Arial"/>
                <w:color w:val="000000"/>
              </w:rPr>
              <w:t>0.02414</w:t>
            </w:r>
          </w:p>
        </w:tc>
        <w:tc>
          <w:tcPr>
            <w:tcW w:w="1701" w:type="dxa"/>
            <w:vAlign w:val="bottom"/>
          </w:tcPr>
          <w:p w:rsidR="000C075A" w:rsidRDefault="000C075A" w:rsidP="00EF4AE9">
            <w:pPr>
              <w:rPr>
                <w:rFonts w:ascii="Arial" w:hAnsi="Arial" w:cs="Arial"/>
                <w:color w:val="000000"/>
              </w:rPr>
            </w:pPr>
            <w:r>
              <w:rPr>
                <w:rFonts w:ascii="Arial" w:hAnsi="Arial" w:cs="Arial"/>
                <w:color w:val="000000"/>
              </w:rPr>
              <w:t>0.029936</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1993</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0.038949</w:t>
            </w:r>
          </w:p>
        </w:tc>
        <w:tc>
          <w:tcPr>
            <w:tcW w:w="1701" w:type="dxa"/>
            <w:vAlign w:val="bottom"/>
          </w:tcPr>
          <w:p w:rsidR="000C075A" w:rsidRDefault="000C075A" w:rsidP="00EF4AE9">
            <w:pPr>
              <w:rPr>
                <w:rFonts w:ascii="Arial" w:hAnsi="Arial" w:cs="Arial"/>
                <w:color w:val="000000"/>
              </w:rPr>
            </w:pPr>
            <w:r>
              <w:rPr>
                <w:rFonts w:ascii="Arial" w:hAnsi="Arial" w:cs="Arial"/>
                <w:color w:val="000000"/>
              </w:rPr>
              <w:t>0.00498</w:t>
            </w:r>
          </w:p>
        </w:tc>
        <w:tc>
          <w:tcPr>
            <w:tcW w:w="1701" w:type="dxa"/>
            <w:vAlign w:val="bottom"/>
          </w:tcPr>
          <w:p w:rsidR="000C075A" w:rsidRDefault="000C075A" w:rsidP="00EF4AE9">
            <w:pPr>
              <w:rPr>
                <w:rFonts w:ascii="Arial" w:hAnsi="Arial" w:cs="Arial"/>
                <w:color w:val="000000"/>
              </w:rPr>
            </w:pPr>
            <w:r>
              <w:rPr>
                <w:rFonts w:ascii="Arial" w:hAnsi="Arial" w:cs="Arial"/>
                <w:color w:val="000000"/>
              </w:rPr>
              <w:t>0.034653</w:t>
            </w:r>
          </w:p>
        </w:tc>
        <w:tc>
          <w:tcPr>
            <w:tcW w:w="1701" w:type="dxa"/>
            <w:vAlign w:val="bottom"/>
          </w:tcPr>
          <w:p w:rsidR="000C075A" w:rsidRDefault="000C075A" w:rsidP="00EF4AE9">
            <w:pPr>
              <w:rPr>
                <w:rFonts w:ascii="Arial" w:hAnsi="Arial" w:cs="Arial"/>
                <w:color w:val="000000"/>
              </w:rPr>
            </w:pPr>
            <w:r>
              <w:rPr>
                <w:rFonts w:ascii="Arial" w:hAnsi="Arial" w:cs="Arial"/>
                <w:color w:val="000000"/>
              </w:rPr>
              <w:t>0.025606</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1994</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0.037489</w:t>
            </w:r>
          </w:p>
        </w:tc>
        <w:tc>
          <w:tcPr>
            <w:tcW w:w="1701" w:type="dxa"/>
            <w:vAlign w:val="bottom"/>
          </w:tcPr>
          <w:p w:rsidR="000C075A" w:rsidRDefault="000C075A" w:rsidP="00EF4AE9">
            <w:pPr>
              <w:rPr>
                <w:rFonts w:ascii="Arial" w:hAnsi="Arial" w:cs="Arial"/>
                <w:color w:val="000000"/>
              </w:rPr>
            </w:pPr>
            <w:r>
              <w:rPr>
                <w:rFonts w:ascii="Arial" w:hAnsi="Arial" w:cs="Arial"/>
                <w:color w:val="000000"/>
              </w:rPr>
              <w:t>-0.00496</w:t>
            </w:r>
          </w:p>
        </w:tc>
        <w:tc>
          <w:tcPr>
            <w:tcW w:w="1701" w:type="dxa"/>
            <w:vAlign w:val="bottom"/>
          </w:tcPr>
          <w:p w:rsidR="000C075A" w:rsidRDefault="000C075A" w:rsidP="00EF4AE9">
            <w:pPr>
              <w:rPr>
                <w:rFonts w:ascii="Arial" w:hAnsi="Arial" w:cs="Arial"/>
                <w:color w:val="000000"/>
              </w:rPr>
            </w:pPr>
            <w:r>
              <w:rPr>
                <w:rFonts w:ascii="Arial" w:hAnsi="Arial" w:cs="Arial"/>
                <w:color w:val="000000"/>
              </w:rPr>
              <w:t>0.024141</w:t>
            </w:r>
          </w:p>
        </w:tc>
        <w:tc>
          <w:tcPr>
            <w:tcW w:w="1701" w:type="dxa"/>
            <w:vAlign w:val="bottom"/>
          </w:tcPr>
          <w:p w:rsidR="000C075A" w:rsidRDefault="000C075A" w:rsidP="00EF4AE9">
            <w:pPr>
              <w:rPr>
                <w:rFonts w:ascii="Arial" w:hAnsi="Arial" w:cs="Arial"/>
                <w:color w:val="000000"/>
              </w:rPr>
            </w:pPr>
            <w:r>
              <w:rPr>
                <w:rFonts w:ascii="Arial" w:hAnsi="Arial" w:cs="Arial"/>
                <w:color w:val="000000"/>
              </w:rPr>
              <w:t>0.02834</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1995</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0.012605</w:t>
            </w:r>
          </w:p>
        </w:tc>
        <w:tc>
          <w:tcPr>
            <w:tcW w:w="1701" w:type="dxa"/>
            <w:vAlign w:val="bottom"/>
          </w:tcPr>
          <w:p w:rsidR="000C075A" w:rsidRDefault="000C075A" w:rsidP="00EF4AE9">
            <w:pPr>
              <w:rPr>
                <w:rFonts w:ascii="Arial" w:hAnsi="Arial" w:cs="Arial"/>
                <w:color w:val="000000"/>
              </w:rPr>
            </w:pPr>
            <w:r>
              <w:rPr>
                <w:rFonts w:ascii="Arial" w:hAnsi="Arial" w:cs="Arial"/>
                <w:color w:val="000000"/>
              </w:rPr>
              <w:t>0.005976</w:t>
            </w:r>
          </w:p>
        </w:tc>
        <w:tc>
          <w:tcPr>
            <w:tcW w:w="1701" w:type="dxa"/>
            <w:vAlign w:val="bottom"/>
          </w:tcPr>
          <w:p w:rsidR="000C075A" w:rsidRDefault="000C075A" w:rsidP="00EF4AE9">
            <w:pPr>
              <w:rPr>
                <w:rFonts w:ascii="Arial" w:hAnsi="Arial" w:cs="Arial"/>
                <w:color w:val="000000"/>
              </w:rPr>
            </w:pPr>
            <w:r>
              <w:rPr>
                <w:rFonts w:ascii="Arial" w:hAnsi="Arial" w:cs="Arial"/>
                <w:color w:val="000000"/>
              </w:rPr>
              <w:t>0.031375</w:t>
            </w:r>
          </w:p>
        </w:tc>
        <w:tc>
          <w:tcPr>
            <w:tcW w:w="1701" w:type="dxa"/>
            <w:vAlign w:val="bottom"/>
          </w:tcPr>
          <w:p w:rsidR="000C075A" w:rsidRDefault="000C075A" w:rsidP="00EF4AE9">
            <w:pPr>
              <w:rPr>
                <w:rFonts w:ascii="Arial" w:hAnsi="Arial" w:cs="Arial"/>
                <w:color w:val="000000"/>
              </w:rPr>
            </w:pPr>
            <w:r>
              <w:rPr>
                <w:rFonts w:ascii="Arial" w:hAnsi="Arial" w:cs="Arial"/>
                <w:color w:val="000000"/>
              </w:rPr>
              <w:t>0.029528</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1996</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-0.00166</w:t>
            </w:r>
          </w:p>
        </w:tc>
        <w:tc>
          <w:tcPr>
            <w:tcW w:w="1701" w:type="dxa"/>
            <w:vAlign w:val="bottom"/>
          </w:tcPr>
          <w:p w:rsidR="000C075A" w:rsidRDefault="000C075A" w:rsidP="00EF4AE9">
            <w:pPr>
              <w:rPr>
                <w:rFonts w:ascii="Arial" w:hAnsi="Arial" w:cs="Arial"/>
                <w:color w:val="000000"/>
              </w:rPr>
            </w:pPr>
            <w:r>
              <w:rPr>
                <w:rFonts w:ascii="Arial" w:hAnsi="Arial" w:cs="Arial"/>
                <w:color w:val="000000"/>
              </w:rPr>
              <w:t>0.018812</w:t>
            </w:r>
          </w:p>
        </w:tc>
        <w:tc>
          <w:tcPr>
            <w:tcW w:w="1701" w:type="dxa"/>
            <w:vAlign w:val="bottom"/>
          </w:tcPr>
          <w:p w:rsidR="000C075A" w:rsidRDefault="000C075A" w:rsidP="00EF4AE9">
            <w:pPr>
              <w:rPr>
                <w:rFonts w:ascii="Arial" w:hAnsi="Arial" w:cs="Arial"/>
                <w:color w:val="000000"/>
              </w:rPr>
            </w:pPr>
            <w:r>
              <w:rPr>
                <w:rFonts w:ascii="Arial" w:hAnsi="Arial" w:cs="Arial"/>
                <w:color w:val="000000"/>
              </w:rPr>
              <w:t>0.034283</w:t>
            </w:r>
          </w:p>
        </w:tc>
        <w:tc>
          <w:tcPr>
            <w:tcW w:w="1701" w:type="dxa"/>
            <w:vAlign w:val="bottom"/>
          </w:tcPr>
          <w:p w:rsidR="000C075A" w:rsidRDefault="000C075A" w:rsidP="00EF4AE9">
            <w:pPr>
              <w:rPr>
                <w:rFonts w:ascii="Arial" w:hAnsi="Arial" w:cs="Arial"/>
                <w:color w:val="000000"/>
              </w:rPr>
            </w:pPr>
            <w:r>
              <w:rPr>
                <w:rFonts w:ascii="Arial" w:hAnsi="Arial" w:cs="Arial"/>
                <w:color w:val="000000"/>
              </w:rPr>
              <w:t>0.022945</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1997</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0.012469</w:t>
            </w:r>
          </w:p>
        </w:tc>
        <w:tc>
          <w:tcPr>
            <w:tcW w:w="1701" w:type="dxa"/>
            <w:vAlign w:val="bottom"/>
          </w:tcPr>
          <w:p w:rsidR="000C075A" w:rsidRDefault="000C075A" w:rsidP="00EF4AE9">
            <w:pPr>
              <w:rPr>
                <w:rFonts w:ascii="Arial" w:hAnsi="Arial" w:cs="Arial"/>
                <w:color w:val="000000"/>
              </w:rPr>
            </w:pPr>
            <w:r>
              <w:rPr>
                <w:rFonts w:ascii="Arial" w:hAnsi="Arial" w:cs="Arial"/>
                <w:color w:val="000000"/>
              </w:rPr>
              <w:t>0.001944</w:t>
            </w:r>
          </w:p>
        </w:tc>
        <w:tc>
          <w:tcPr>
            <w:tcW w:w="1701" w:type="dxa"/>
            <w:vAlign w:val="bottom"/>
          </w:tcPr>
          <w:p w:rsidR="000C075A" w:rsidRDefault="000C075A" w:rsidP="00EF4AE9">
            <w:pPr>
              <w:rPr>
                <w:rFonts w:ascii="Arial" w:hAnsi="Arial" w:cs="Arial"/>
                <w:color w:val="000000"/>
              </w:rPr>
            </w:pPr>
            <w:r>
              <w:rPr>
                <w:rFonts w:ascii="Arial" w:hAnsi="Arial" w:cs="Arial"/>
                <w:color w:val="000000"/>
              </w:rPr>
              <w:t>0.015406</w:t>
            </w:r>
          </w:p>
        </w:tc>
        <w:tc>
          <w:tcPr>
            <w:tcW w:w="1701" w:type="dxa"/>
            <w:vAlign w:val="bottom"/>
          </w:tcPr>
          <w:p w:rsidR="000C075A" w:rsidRDefault="000C075A" w:rsidP="00EF4AE9">
            <w:pPr>
              <w:rPr>
                <w:rFonts w:ascii="Arial" w:hAnsi="Arial" w:cs="Arial"/>
                <w:color w:val="000000"/>
              </w:rPr>
            </w:pPr>
            <w:r>
              <w:rPr>
                <w:rFonts w:ascii="Arial" w:hAnsi="Arial" w:cs="Arial"/>
                <w:color w:val="000000"/>
              </w:rPr>
              <w:t>0.015576</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1998</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0.027915</w:t>
            </w:r>
          </w:p>
        </w:tc>
        <w:tc>
          <w:tcPr>
            <w:tcW w:w="1701" w:type="dxa"/>
            <w:vAlign w:val="bottom"/>
          </w:tcPr>
          <w:p w:rsidR="000C075A" w:rsidRDefault="000C075A" w:rsidP="00EF4AE9">
            <w:pPr>
              <w:rPr>
                <w:rFonts w:ascii="Arial" w:hAnsi="Arial" w:cs="Arial"/>
                <w:color w:val="000000"/>
              </w:rPr>
            </w:pPr>
            <w:r>
              <w:rPr>
                <w:rFonts w:ascii="Arial" w:hAnsi="Arial" w:cs="Arial"/>
                <w:color w:val="000000"/>
              </w:rPr>
              <w:t>-0.00679</w:t>
            </w:r>
          </w:p>
        </w:tc>
        <w:tc>
          <w:tcPr>
            <w:tcW w:w="1701" w:type="dxa"/>
            <w:vAlign w:val="bottom"/>
          </w:tcPr>
          <w:p w:rsidR="000C075A" w:rsidRDefault="000C075A" w:rsidP="00EF4AE9">
            <w:pPr>
              <w:rPr>
                <w:rFonts w:ascii="Arial" w:hAnsi="Arial" w:cs="Arial"/>
                <w:color w:val="000000"/>
              </w:rPr>
            </w:pPr>
            <w:r>
              <w:rPr>
                <w:rFonts w:ascii="Arial" w:hAnsi="Arial" w:cs="Arial"/>
                <w:color w:val="000000"/>
              </w:rPr>
              <w:t>0.029579</w:t>
            </w:r>
          </w:p>
        </w:tc>
        <w:tc>
          <w:tcPr>
            <w:tcW w:w="1701" w:type="dxa"/>
            <w:vAlign w:val="bottom"/>
          </w:tcPr>
          <w:p w:rsidR="000C075A" w:rsidRDefault="000C075A" w:rsidP="00EF4AE9">
            <w:pPr>
              <w:rPr>
                <w:rFonts w:ascii="Arial" w:hAnsi="Arial" w:cs="Arial"/>
                <w:color w:val="000000"/>
              </w:rPr>
            </w:pPr>
            <w:r>
              <w:rPr>
                <w:rFonts w:ascii="Arial" w:hAnsi="Arial" w:cs="Arial"/>
                <w:color w:val="000000"/>
              </w:rPr>
              <w:t>0.022086</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1999</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0.059904</w:t>
            </w:r>
          </w:p>
        </w:tc>
        <w:tc>
          <w:tcPr>
            <w:tcW w:w="1701" w:type="dxa"/>
            <w:vAlign w:val="bottom"/>
          </w:tcPr>
          <w:p w:rsidR="000C075A" w:rsidRDefault="000C075A" w:rsidP="00EF4AE9">
            <w:pPr>
              <w:rPr>
                <w:rFonts w:ascii="Arial" w:hAnsi="Arial" w:cs="Arial"/>
                <w:color w:val="000000"/>
              </w:rPr>
            </w:pPr>
            <w:r>
              <w:rPr>
                <w:rFonts w:ascii="Arial" w:hAnsi="Arial" w:cs="Arial"/>
                <w:color w:val="000000"/>
              </w:rPr>
              <w:t>-0.00391</w:t>
            </w:r>
          </w:p>
        </w:tc>
        <w:tc>
          <w:tcPr>
            <w:tcW w:w="1701" w:type="dxa"/>
            <w:vAlign w:val="bottom"/>
          </w:tcPr>
          <w:p w:rsidR="000C075A" w:rsidRDefault="000C075A" w:rsidP="00EF4AE9">
            <w:pPr>
              <w:rPr>
                <w:rFonts w:ascii="Arial" w:hAnsi="Arial" w:cs="Arial"/>
                <w:color w:val="000000"/>
              </w:rPr>
            </w:pPr>
            <w:r>
              <w:rPr>
                <w:rFonts w:ascii="Arial" w:hAnsi="Arial" w:cs="Arial"/>
                <w:color w:val="000000"/>
              </w:rPr>
              <w:t>0.017714</w:t>
            </w:r>
          </w:p>
        </w:tc>
        <w:tc>
          <w:tcPr>
            <w:tcW w:w="1701" w:type="dxa"/>
            <w:vAlign w:val="bottom"/>
          </w:tcPr>
          <w:p w:rsidR="000C075A" w:rsidRDefault="000C075A" w:rsidP="00EF4AE9">
            <w:pPr>
              <w:rPr>
                <w:rFonts w:ascii="Arial" w:hAnsi="Arial" w:cs="Arial"/>
                <w:color w:val="000000"/>
              </w:rPr>
            </w:pPr>
            <w:r>
              <w:rPr>
                <w:rFonts w:ascii="Arial" w:hAnsi="Arial" w:cs="Arial"/>
                <w:color w:val="000000"/>
              </w:rPr>
              <w:t>0.033613</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2000</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0.02939</w:t>
            </w:r>
          </w:p>
        </w:tc>
        <w:tc>
          <w:tcPr>
            <w:tcW w:w="1701" w:type="dxa"/>
            <w:vAlign w:val="bottom"/>
          </w:tcPr>
          <w:p w:rsidR="000C075A" w:rsidRDefault="000C075A" w:rsidP="00EF4AE9">
            <w:pPr>
              <w:rPr>
                <w:rFonts w:ascii="Arial" w:hAnsi="Arial" w:cs="Arial"/>
                <w:color w:val="000000"/>
              </w:rPr>
            </w:pPr>
            <w:r>
              <w:rPr>
                <w:rFonts w:ascii="Arial" w:hAnsi="Arial" w:cs="Arial"/>
                <w:color w:val="000000"/>
              </w:rPr>
              <w:t>-0.01373</w:t>
            </w:r>
          </w:p>
        </w:tc>
        <w:tc>
          <w:tcPr>
            <w:tcW w:w="1701" w:type="dxa"/>
            <w:vAlign w:val="bottom"/>
          </w:tcPr>
          <w:p w:rsidR="000C075A" w:rsidRDefault="000C075A" w:rsidP="00EF4AE9">
            <w:pPr>
              <w:rPr>
                <w:rFonts w:ascii="Arial" w:hAnsi="Arial" w:cs="Arial"/>
                <w:color w:val="000000"/>
              </w:rPr>
            </w:pPr>
            <w:r>
              <w:rPr>
                <w:rFonts w:ascii="Arial" w:hAnsi="Arial" w:cs="Arial"/>
                <w:color w:val="000000"/>
              </w:rPr>
              <w:t>0.016674</w:t>
            </w:r>
          </w:p>
        </w:tc>
        <w:tc>
          <w:tcPr>
            <w:tcW w:w="1701" w:type="dxa"/>
            <w:vAlign w:val="bottom"/>
          </w:tcPr>
          <w:p w:rsidR="000C075A" w:rsidRDefault="000C075A" w:rsidP="00EF4AE9">
            <w:pPr>
              <w:rPr>
                <w:rFonts w:ascii="Arial" w:hAnsi="Arial" w:cs="Arial"/>
                <w:color w:val="000000"/>
              </w:rPr>
            </w:pPr>
            <w:r>
              <w:rPr>
                <w:rFonts w:ascii="Arial" w:hAnsi="Arial" w:cs="Arial"/>
                <w:color w:val="000000"/>
              </w:rPr>
              <w:t>0.028455</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2001</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0.034407</w:t>
            </w:r>
          </w:p>
        </w:tc>
        <w:tc>
          <w:tcPr>
            <w:tcW w:w="1701" w:type="dxa"/>
            <w:vAlign w:val="bottom"/>
          </w:tcPr>
          <w:p w:rsidR="000C075A" w:rsidRDefault="000C075A" w:rsidP="00EF4AE9">
            <w:pPr>
              <w:rPr>
                <w:rFonts w:ascii="Arial" w:hAnsi="Arial" w:cs="Arial"/>
                <w:color w:val="000000"/>
              </w:rPr>
            </w:pPr>
            <w:r>
              <w:rPr>
                <w:rFonts w:ascii="Arial" w:hAnsi="Arial" w:cs="Arial"/>
                <w:color w:val="000000"/>
              </w:rPr>
              <w:t>-0.00398</w:t>
            </w:r>
          </w:p>
        </w:tc>
        <w:tc>
          <w:tcPr>
            <w:tcW w:w="1701" w:type="dxa"/>
            <w:vAlign w:val="bottom"/>
          </w:tcPr>
          <w:p w:rsidR="000C075A" w:rsidRDefault="000C075A" w:rsidP="00EF4AE9">
            <w:pPr>
              <w:rPr>
                <w:rFonts w:ascii="Arial" w:hAnsi="Arial" w:cs="Arial"/>
                <w:color w:val="000000"/>
              </w:rPr>
            </w:pPr>
            <w:r>
              <w:rPr>
                <w:rFonts w:ascii="Arial" w:hAnsi="Arial" w:cs="Arial"/>
                <w:color w:val="000000"/>
              </w:rPr>
              <w:t>0.028917</w:t>
            </w:r>
          </w:p>
        </w:tc>
        <w:tc>
          <w:tcPr>
            <w:tcW w:w="1701" w:type="dxa"/>
            <w:vAlign w:val="bottom"/>
          </w:tcPr>
          <w:p w:rsidR="000C075A" w:rsidRDefault="000C075A" w:rsidP="00EF4AE9">
            <w:pPr>
              <w:rPr>
                <w:rFonts w:ascii="Arial" w:hAnsi="Arial" w:cs="Arial"/>
                <w:color w:val="000000"/>
              </w:rPr>
            </w:pPr>
            <w:r>
              <w:rPr>
                <w:rFonts w:ascii="Arial" w:hAnsi="Arial" w:cs="Arial"/>
                <w:color w:val="000000"/>
              </w:rPr>
              <w:t>0.01581</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2002</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0.019816</w:t>
            </w:r>
          </w:p>
        </w:tc>
        <w:tc>
          <w:tcPr>
            <w:tcW w:w="1701" w:type="dxa"/>
            <w:vAlign w:val="bottom"/>
          </w:tcPr>
          <w:p w:rsidR="000C075A" w:rsidRDefault="000C075A" w:rsidP="00EF4AE9">
            <w:pPr>
              <w:rPr>
                <w:rFonts w:ascii="Arial" w:hAnsi="Arial" w:cs="Arial"/>
                <w:color w:val="000000"/>
              </w:rPr>
            </w:pPr>
            <w:r>
              <w:rPr>
                <w:rFonts w:ascii="Arial" w:hAnsi="Arial" w:cs="Arial"/>
                <w:color w:val="000000"/>
              </w:rPr>
              <w:t>-0.00299</w:t>
            </w:r>
          </w:p>
        </w:tc>
        <w:tc>
          <w:tcPr>
            <w:tcW w:w="1701" w:type="dxa"/>
            <w:vAlign w:val="bottom"/>
          </w:tcPr>
          <w:p w:rsidR="000C075A" w:rsidRDefault="000C075A" w:rsidP="00EF4AE9">
            <w:pPr>
              <w:rPr>
                <w:rFonts w:ascii="Arial" w:hAnsi="Arial" w:cs="Arial"/>
                <w:color w:val="000000"/>
              </w:rPr>
            </w:pPr>
            <w:r>
              <w:rPr>
                <w:rFonts w:ascii="Arial" w:hAnsi="Arial" w:cs="Arial"/>
                <w:color w:val="000000"/>
              </w:rPr>
              <w:t>0.013445</w:t>
            </w:r>
          </w:p>
        </w:tc>
        <w:tc>
          <w:tcPr>
            <w:tcW w:w="1701" w:type="dxa"/>
            <w:vAlign w:val="bottom"/>
          </w:tcPr>
          <w:p w:rsidR="000C075A" w:rsidRDefault="000C075A" w:rsidP="00EF4AE9">
            <w:pPr>
              <w:rPr>
                <w:rFonts w:ascii="Arial" w:hAnsi="Arial" w:cs="Arial"/>
                <w:color w:val="000000"/>
              </w:rPr>
            </w:pPr>
            <w:r>
              <w:rPr>
                <w:rFonts w:ascii="Arial" w:hAnsi="Arial" w:cs="Arial"/>
                <w:color w:val="000000"/>
              </w:rPr>
              <w:t>0.02279</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2003</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0.023595</w:t>
            </w:r>
          </w:p>
        </w:tc>
        <w:tc>
          <w:tcPr>
            <w:tcW w:w="1701" w:type="dxa"/>
            <w:vAlign w:val="bottom"/>
          </w:tcPr>
          <w:p w:rsidR="000C075A" w:rsidRDefault="000C075A" w:rsidP="00EF4AE9">
            <w:pPr>
              <w:rPr>
                <w:rFonts w:ascii="Arial" w:hAnsi="Arial" w:cs="Arial"/>
                <w:color w:val="000000"/>
              </w:rPr>
            </w:pPr>
            <w:r>
              <w:rPr>
                <w:rFonts w:ascii="Arial" w:hAnsi="Arial" w:cs="Arial"/>
                <w:color w:val="000000"/>
              </w:rPr>
              <w:t>0.002002</w:t>
            </w:r>
          </w:p>
        </w:tc>
        <w:tc>
          <w:tcPr>
            <w:tcW w:w="1701" w:type="dxa"/>
            <w:vAlign w:val="bottom"/>
          </w:tcPr>
          <w:p w:rsidR="000C075A" w:rsidRDefault="000C075A" w:rsidP="00EF4AE9">
            <w:pPr>
              <w:rPr>
                <w:rFonts w:ascii="Arial" w:hAnsi="Arial" w:cs="Arial"/>
                <w:color w:val="000000"/>
              </w:rPr>
            </w:pPr>
            <w:r>
              <w:rPr>
                <w:rFonts w:ascii="Arial" w:hAnsi="Arial" w:cs="Arial"/>
                <w:color w:val="000000"/>
              </w:rPr>
              <w:t>0.020949</w:t>
            </w:r>
          </w:p>
        </w:tc>
        <w:tc>
          <w:tcPr>
            <w:tcW w:w="1701" w:type="dxa"/>
            <w:vAlign w:val="bottom"/>
          </w:tcPr>
          <w:p w:rsidR="000C075A" w:rsidRDefault="000C075A" w:rsidP="00EF4AE9">
            <w:pPr>
              <w:rPr>
                <w:rFonts w:ascii="Arial" w:hAnsi="Arial" w:cs="Arial"/>
                <w:color w:val="000000"/>
              </w:rPr>
            </w:pPr>
            <w:r>
              <w:rPr>
                <w:rFonts w:ascii="Arial" w:hAnsi="Arial" w:cs="Arial"/>
                <w:color w:val="000000"/>
              </w:rPr>
              <w:t>0.02663</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2004</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0.029831</w:t>
            </w:r>
          </w:p>
        </w:tc>
        <w:tc>
          <w:tcPr>
            <w:tcW w:w="1701" w:type="dxa"/>
            <w:vAlign w:val="bottom"/>
          </w:tcPr>
          <w:p w:rsidR="000C075A" w:rsidRDefault="000C075A" w:rsidP="00EF4AE9">
            <w:pPr>
              <w:rPr>
                <w:rFonts w:ascii="Arial" w:hAnsi="Arial" w:cs="Arial"/>
                <w:color w:val="000000"/>
              </w:rPr>
            </w:pPr>
            <w:r>
              <w:rPr>
                <w:rFonts w:ascii="Arial" w:hAnsi="Arial" w:cs="Arial"/>
                <w:color w:val="000000"/>
              </w:rPr>
              <w:t>-0.001</w:t>
            </w:r>
          </w:p>
        </w:tc>
        <w:tc>
          <w:tcPr>
            <w:tcW w:w="1701" w:type="dxa"/>
            <w:vAlign w:val="bottom"/>
          </w:tcPr>
          <w:p w:rsidR="000C075A" w:rsidRDefault="000C075A" w:rsidP="00EF4AE9">
            <w:pPr>
              <w:rPr>
                <w:rFonts w:ascii="Arial" w:hAnsi="Arial" w:cs="Arial"/>
                <w:color w:val="000000"/>
              </w:rPr>
            </w:pPr>
            <w:r>
              <w:rPr>
                <w:rFonts w:ascii="Arial" w:hAnsi="Arial" w:cs="Arial"/>
                <w:color w:val="000000"/>
              </w:rPr>
              <w:t>0.023378</w:t>
            </w:r>
          </w:p>
        </w:tc>
        <w:tc>
          <w:tcPr>
            <w:tcW w:w="1701" w:type="dxa"/>
            <w:vAlign w:val="bottom"/>
          </w:tcPr>
          <w:p w:rsidR="000C075A" w:rsidRDefault="000C075A" w:rsidP="00EF4AE9">
            <w:pPr>
              <w:rPr>
                <w:rFonts w:ascii="Arial" w:hAnsi="Arial" w:cs="Arial"/>
                <w:color w:val="000000"/>
              </w:rPr>
            </w:pPr>
            <w:r>
              <w:rPr>
                <w:rFonts w:ascii="Arial" w:hAnsi="Arial" w:cs="Arial"/>
                <w:color w:val="000000"/>
              </w:rPr>
              <w:t>0.03388</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2005</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0.024358</w:t>
            </w:r>
          </w:p>
        </w:tc>
        <w:tc>
          <w:tcPr>
            <w:tcW w:w="1701" w:type="dxa"/>
            <w:vAlign w:val="bottom"/>
          </w:tcPr>
          <w:p w:rsidR="000C075A" w:rsidRDefault="000C075A" w:rsidP="00EF4AE9">
            <w:pPr>
              <w:rPr>
                <w:rFonts w:ascii="Arial" w:hAnsi="Arial" w:cs="Arial"/>
                <w:color w:val="000000"/>
              </w:rPr>
            </w:pPr>
            <w:r>
              <w:rPr>
                <w:rFonts w:ascii="Arial" w:hAnsi="Arial" w:cs="Arial"/>
                <w:color w:val="000000"/>
              </w:rPr>
              <w:t>0</w:t>
            </w:r>
          </w:p>
        </w:tc>
        <w:tc>
          <w:tcPr>
            <w:tcW w:w="1701" w:type="dxa"/>
            <w:vAlign w:val="bottom"/>
          </w:tcPr>
          <w:p w:rsidR="000C075A" w:rsidRDefault="000C075A" w:rsidP="00EF4AE9">
            <w:pPr>
              <w:rPr>
                <w:rFonts w:ascii="Arial" w:hAnsi="Arial" w:cs="Arial"/>
                <w:color w:val="000000"/>
              </w:rPr>
            </w:pPr>
            <w:r>
              <w:rPr>
                <w:rFonts w:ascii="Arial" w:hAnsi="Arial" w:cs="Arial"/>
                <w:color w:val="000000"/>
              </w:rPr>
              <w:t>0.023108</w:t>
            </w:r>
          </w:p>
        </w:tc>
        <w:tc>
          <w:tcPr>
            <w:tcW w:w="1701" w:type="dxa"/>
            <w:vAlign w:val="bottom"/>
          </w:tcPr>
          <w:p w:rsidR="000C075A" w:rsidRDefault="000C075A" w:rsidP="00EF4AE9">
            <w:pPr>
              <w:rPr>
                <w:rFonts w:ascii="Arial" w:hAnsi="Arial" w:cs="Arial"/>
                <w:color w:val="000000"/>
              </w:rPr>
            </w:pPr>
            <w:r>
              <w:rPr>
                <w:rFonts w:ascii="Arial" w:hAnsi="Arial" w:cs="Arial"/>
                <w:color w:val="000000"/>
              </w:rPr>
              <w:t>0.032258</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2006</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0.042416</w:t>
            </w:r>
          </w:p>
        </w:tc>
        <w:tc>
          <w:tcPr>
            <w:tcW w:w="1701" w:type="dxa"/>
            <w:vAlign w:val="bottom"/>
          </w:tcPr>
          <w:p w:rsidR="000C075A" w:rsidRDefault="000C075A" w:rsidP="00EF4AE9">
            <w:pPr>
              <w:rPr>
                <w:rFonts w:ascii="Arial" w:hAnsi="Arial" w:cs="Arial"/>
                <w:color w:val="000000"/>
              </w:rPr>
            </w:pPr>
            <w:r>
              <w:rPr>
                <w:rFonts w:ascii="Arial" w:hAnsi="Arial" w:cs="Arial"/>
                <w:color w:val="000000"/>
              </w:rPr>
              <w:t>0.007</w:t>
            </w:r>
          </w:p>
        </w:tc>
        <w:tc>
          <w:tcPr>
            <w:tcW w:w="1701" w:type="dxa"/>
            <w:vAlign w:val="bottom"/>
          </w:tcPr>
          <w:p w:rsidR="000C075A" w:rsidRDefault="000C075A" w:rsidP="00EF4AE9">
            <w:pPr>
              <w:rPr>
                <w:rFonts w:ascii="Arial" w:hAnsi="Arial" w:cs="Arial"/>
                <w:color w:val="000000"/>
              </w:rPr>
            </w:pPr>
            <w:r>
              <w:rPr>
                <w:rFonts w:ascii="Arial" w:hAnsi="Arial" w:cs="Arial"/>
                <w:color w:val="000000"/>
              </w:rPr>
              <w:t>0.036138</w:t>
            </w:r>
          </w:p>
        </w:tc>
        <w:tc>
          <w:tcPr>
            <w:tcW w:w="1701" w:type="dxa"/>
            <w:vAlign w:val="bottom"/>
          </w:tcPr>
          <w:p w:rsidR="000C075A" w:rsidRDefault="000C075A" w:rsidP="00EF4AE9">
            <w:pPr>
              <w:rPr>
                <w:rFonts w:ascii="Arial" w:hAnsi="Arial" w:cs="Arial"/>
                <w:color w:val="000000"/>
              </w:rPr>
            </w:pPr>
            <w:r>
              <w:rPr>
                <w:rFonts w:ascii="Arial" w:hAnsi="Arial" w:cs="Arial"/>
                <w:color w:val="000000"/>
              </w:rPr>
              <w:t>0.028274</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2007</w:t>
            </w:r>
          </w:p>
        </w:tc>
      </w:tr>
      <w:tr w:rsidR="000C075A"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0.071823</w:t>
            </w:r>
          </w:p>
        </w:tc>
        <w:tc>
          <w:tcPr>
            <w:tcW w:w="1701" w:type="dxa"/>
            <w:vAlign w:val="bottom"/>
          </w:tcPr>
          <w:p w:rsidR="000C075A" w:rsidRDefault="000C075A" w:rsidP="00EF4AE9">
            <w:pPr>
              <w:rPr>
                <w:rFonts w:ascii="Arial" w:hAnsi="Arial" w:cs="Arial"/>
                <w:color w:val="000000"/>
              </w:rPr>
            </w:pPr>
            <w:r>
              <w:rPr>
                <w:rFonts w:ascii="Arial" w:hAnsi="Arial" w:cs="Arial"/>
                <w:color w:val="000000"/>
              </w:rPr>
              <w:t>0.04142</w:t>
            </w:r>
          </w:p>
        </w:tc>
        <w:tc>
          <w:tcPr>
            <w:tcW w:w="1701" w:type="dxa"/>
            <w:vAlign w:val="bottom"/>
          </w:tcPr>
          <w:p w:rsidR="000C075A" w:rsidRDefault="000C075A" w:rsidP="00EF4AE9">
            <w:pPr>
              <w:rPr>
                <w:rFonts w:ascii="Arial" w:hAnsi="Arial" w:cs="Arial"/>
                <w:color w:val="000000"/>
              </w:rPr>
            </w:pPr>
            <w:r>
              <w:rPr>
                <w:rFonts w:ascii="Arial" w:hAnsi="Arial" w:cs="Arial"/>
                <w:color w:val="000000"/>
              </w:rPr>
              <w:t>0.07125</w:t>
            </w:r>
          </w:p>
        </w:tc>
        <w:tc>
          <w:tcPr>
            <w:tcW w:w="1701" w:type="dxa"/>
            <w:vAlign w:val="bottom"/>
          </w:tcPr>
          <w:p w:rsidR="000C075A" w:rsidRDefault="000C075A" w:rsidP="00EF4AE9">
            <w:pPr>
              <w:rPr>
                <w:rFonts w:ascii="Arial" w:hAnsi="Arial" w:cs="Arial"/>
                <w:color w:val="000000"/>
              </w:rPr>
            </w:pPr>
            <w:r>
              <w:rPr>
                <w:rFonts w:ascii="Arial" w:hAnsi="Arial" w:cs="Arial"/>
                <w:color w:val="000000"/>
              </w:rPr>
              <w:t>0.038591</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2008</w:t>
            </w:r>
          </w:p>
        </w:tc>
      </w:tr>
    </w:tbl>
    <w:p w:rsidR="000C075A" w:rsidRDefault="000C075A" w:rsidP="000C075A">
      <w:pPr>
        <w:jc w:val="right"/>
        <w:rPr>
          <w:rFonts w:asciiTheme="majorBidi" w:hAnsiTheme="majorBidi" w:cstheme="majorBidi"/>
          <w:b/>
          <w:bCs/>
          <w:lang w:bidi="ar-EG"/>
        </w:rPr>
      </w:pPr>
    </w:p>
    <w:p w:rsidR="000C075A" w:rsidRDefault="000C075A" w:rsidP="000C075A">
      <w:pPr>
        <w:jc w:val="right"/>
        <w:rPr>
          <w:rFonts w:asciiTheme="majorBidi" w:hAnsiTheme="majorBidi" w:cstheme="majorBidi"/>
          <w:b/>
          <w:bCs/>
          <w:lang w:bidi="ar-EG"/>
        </w:rPr>
      </w:pPr>
    </w:p>
    <w:p w:rsidR="000C075A" w:rsidRDefault="000C075A" w:rsidP="000C075A">
      <w:pPr>
        <w:rPr>
          <w:rFonts w:asciiTheme="majorBidi" w:hAnsiTheme="majorBidi" w:cstheme="majorBidi"/>
          <w:b/>
          <w:bCs/>
          <w:lang w:bidi="ar-EG"/>
        </w:rPr>
      </w:pPr>
    </w:p>
    <w:p w:rsidR="00F01F27" w:rsidRDefault="002E760E" w:rsidP="00F01F27">
      <w:pPr>
        <w:rPr>
          <w:rFonts w:asciiTheme="majorBidi" w:hAnsiTheme="majorBidi" w:cstheme="majorBidi"/>
          <w:b/>
          <w:bCs/>
          <w:lang w:bidi="ar-EG"/>
        </w:rPr>
      </w:pPr>
      <w:r>
        <w:t>Source:</w:t>
      </w:r>
      <w:r w:rsidR="00F01F27" w:rsidRPr="00F01F27">
        <w:t xml:space="preserve"> </w:t>
      </w:r>
      <w:r w:rsidR="00F01F27" w:rsidRPr="00F01F27">
        <w:rPr>
          <w:rFonts w:asciiTheme="majorBidi" w:hAnsiTheme="majorBidi" w:cstheme="majorBidi"/>
          <w:lang w:bidi="ar-EG"/>
        </w:rPr>
        <w:t xml:space="preserve">http://www.rateinflation.com/inflation-rate/usa-inflation-rate.php </w:t>
      </w:r>
    </w:p>
    <w:p w:rsidR="00F01F27" w:rsidRDefault="00F01F27" w:rsidP="00F01F27"/>
    <w:p w:rsidR="000C075A" w:rsidRDefault="000C075A" w:rsidP="000C075A">
      <w:pPr>
        <w:rPr>
          <w:rFonts w:asciiTheme="majorBidi" w:hAnsiTheme="majorBidi" w:cstheme="majorBidi"/>
          <w:b/>
          <w:bCs/>
          <w:lang w:bidi="ar-EG"/>
        </w:rPr>
      </w:pPr>
      <w:r w:rsidRPr="00006D66">
        <w:rPr>
          <w:rFonts w:asciiTheme="majorBidi" w:hAnsiTheme="majorBidi" w:cstheme="majorBidi"/>
          <w:b/>
          <w:bCs/>
          <w:lang w:bidi="ar-EG"/>
        </w:rPr>
        <w:lastRenderedPageBreak/>
        <w:t>Table (</w:t>
      </w:r>
      <w:r>
        <w:rPr>
          <w:rFonts w:asciiTheme="majorBidi" w:hAnsiTheme="majorBidi" w:cstheme="majorBidi"/>
          <w:b/>
          <w:bCs/>
          <w:lang w:bidi="ar-EG"/>
        </w:rPr>
        <w:t>5</w:t>
      </w:r>
      <w:r w:rsidRPr="00006D66">
        <w:rPr>
          <w:rFonts w:asciiTheme="majorBidi" w:hAnsiTheme="majorBidi" w:cstheme="majorBidi"/>
          <w:b/>
          <w:bCs/>
          <w:lang w:bidi="ar-EG"/>
        </w:rPr>
        <w:t>)</w:t>
      </w:r>
      <w:r>
        <w:rPr>
          <w:rFonts w:asciiTheme="majorBidi" w:hAnsiTheme="majorBidi" w:cstheme="majorBidi"/>
          <w:b/>
          <w:bCs/>
          <w:lang w:bidi="ar-EG"/>
        </w:rPr>
        <w:t xml:space="preserve"> the price of gold</w:t>
      </w:r>
      <w:r w:rsidRPr="00006D66">
        <w:rPr>
          <w:rFonts w:asciiTheme="majorBidi" w:hAnsiTheme="majorBidi" w:cstheme="majorBidi"/>
          <w:b/>
          <w:bCs/>
          <w:lang w:bidi="ar-EG"/>
        </w:rPr>
        <w:t>:</w:t>
      </w:r>
    </w:p>
    <w:p w:rsidR="000C075A" w:rsidRPr="00006D66" w:rsidRDefault="000C075A" w:rsidP="000C075A">
      <w:pPr>
        <w:jc w:val="right"/>
        <w:rPr>
          <w:rFonts w:asciiTheme="majorBidi" w:hAnsiTheme="majorBidi" w:cstheme="majorBidi"/>
          <w:b/>
          <w:bCs/>
          <w:lang w:bidi="ar-EG"/>
        </w:rPr>
      </w:pPr>
    </w:p>
    <w:tbl>
      <w:tblPr>
        <w:tblStyle w:val="TableGrid"/>
        <w:bidiVisual/>
        <w:tblW w:w="0" w:type="auto"/>
        <w:tblInd w:w="2157" w:type="dxa"/>
        <w:tblLook w:val="04A0"/>
      </w:tblPr>
      <w:tblGrid>
        <w:gridCol w:w="2177"/>
        <w:gridCol w:w="1701"/>
        <w:gridCol w:w="1242"/>
      </w:tblGrid>
      <w:tr w:rsidR="000C075A" w:rsidTr="00EF4AE9">
        <w:tc>
          <w:tcPr>
            <w:tcW w:w="2177" w:type="dxa"/>
          </w:tcPr>
          <w:p w:rsidR="000C075A" w:rsidRDefault="000C075A" w:rsidP="000C075A">
            <w:pPr>
              <w:rPr>
                <w:rFonts w:asciiTheme="majorBidi" w:hAnsiTheme="majorBidi" w:cstheme="majorBidi"/>
                <w:b/>
                <w:bCs/>
                <w:sz w:val="24"/>
                <w:szCs w:val="24"/>
                <w:rtl/>
                <w:lang w:bidi="ar-EG"/>
              </w:rPr>
            </w:pPr>
            <w:r>
              <w:rPr>
                <w:rFonts w:asciiTheme="majorBidi" w:hAnsiTheme="majorBidi" w:cstheme="majorBidi"/>
                <w:b/>
                <w:bCs/>
                <w:sz w:val="24"/>
                <w:szCs w:val="24"/>
                <w:lang w:bidi="ar-EG"/>
              </w:rPr>
              <w:t>Australian dollar per 1 ounce</w:t>
            </w:r>
          </w:p>
        </w:tc>
        <w:tc>
          <w:tcPr>
            <w:tcW w:w="1701" w:type="dxa"/>
          </w:tcPr>
          <w:p w:rsidR="000C075A" w:rsidRDefault="000C075A" w:rsidP="000C075A">
            <w:pPr>
              <w:rPr>
                <w:rFonts w:asciiTheme="majorBidi" w:hAnsiTheme="majorBidi" w:cstheme="majorBidi"/>
                <w:b/>
                <w:bCs/>
                <w:sz w:val="24"/>
                <w:szCs w:val="24"/>
                <w:rtl/>
                <w:lang w:bidi="ar-EG"/>
              </w:rPr>
            </w:pPr>
            <w:r>
              <w:rPr>
                <w:rFonts w:asciiTheme="majorBidi" w:hAnsiTheme="majorBidi" w:cstheme="majorBidi"/>
                <w:b/>
                <w:bCs/>
                <w:sz w:val="24"/>
                <w:szCs w:val="24"/>
                <w:lang w:bidi="ar-EG"/>
              </w:rPr>
              <w:t>US$ per 1ounce</w:t>
            </w:r>
          </w:p>
        </w:tc>
        <w:tc>
          <w:tcPr>
            <w:tcW w:w="1242" w:type="dxa"/>
          </w:tcPr>
          <w:p w:rsidR="000C075A" w:rsidRDefault="000C075A" w:rsidP="000C075A">
            <w:pPr>
              <w:rPr>
                <w:rFonts w:asciiTheme="majorBidi" w:hAnsiTheme="majorBidi" w:cstheme="majorBidi"/>
                <w:b/>
                <w:bCs/>
                <w:sz w:val="24"/>
                <w:szCs w:val="24"/>
                <w:lang w:bidi="ar-EG"/>
              </w:rPr>
            </w:pPr>
            <w:r>
              <w:rPr>
                <w:rFonts w:asciiTheme="majorBidi" w:hAnsiTheme="majorBidi" w:cstheme="majorBidi"/>
                <w:b/>
                <w:bCs/>
                <w:sz w:val="24"/>
                <w:szCs w:val="24"/>
                <w:lang w:bidi="ar-EG"/>
              </w:rPr>
              <w:t>Year</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35.81484203</w:t>
            </w:r>
          </w:p>
        </w:tc>
        <w:tc>
          <w:tcPr>
            <w:tcW w:w="1701" w:type="dxa"/>
            <w:vAlign w:val="bottom"/>
          </w:tcPr>
          <w:p w:rsidR="000C075A" w:rsidRDefault="000C075A" w:rsidP="000C075A">
            <w:pPr>
              <w:rPr>
                <w:rFonts w:ascii="Arial" w:hAnsi="Arial" w:cs="Arial"/>
                <w:color w:val="000000"/>
              </w:rPr>
            </w:pPr>
            <w:r>
              <w:rPr>
                <w:rFonts w:ascii="Arial" w:hAnsi="Arial" w:cs="Arial"/>
                <w:color w:val="000000"/>
              </w:rPr>
              <w:t>40.62</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1971</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49.02377622</w:t>
            </w:r>
          </w:p>
        </w:tc>
        <w:tc>
          <w:tcPr>
            <w:tcW w:w="1701" w:type="dxa"/>
            <w:vAlign w:val="bottom"/>
          </w:tcPr>
          <w:p w:rsidR="000C075A" w:rsidRDefault="000C075A" w:rsidP="000C075A">
            <w:pPr>
              <w:rPr>
                <w:rFonts w:ascii="Arial" w:hAnsi="Arial" w:cs="Arial"/>
                <w:color w:val="000000"/>
              </w:rPr>
            </w:pPr>
            <w:r>
              <w:rPr>
                <w:rFonts w:ascii="Arial" w:hAnsi="Arial" w:cs="Arial"/>
                <w:color w:val="000000"/>
              </w:rPr>
              <w:t>58.42</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1972</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68.6247798</w:t>
            </w:r>
          </w:p>
        </w:tc>
        <w:tc>
          <w:tcPr>
            <w:tcW w:w="1701" w:type="dxa"/>
            <w:vAlign w:val="bottom"/>
          </w:tcPr>
          <w:p w:rsidR="000C075A" w:rsidRDefault="000C075A" w:rsidP="000C075A">
            <w:pPr>
              <w:rPr>
                <w:rFonts w:ascii="Arial" w:hAnsi="Arial" w:cs="Arial"/>
                <w:color w:val="000000"/>
              </w:rPr>
            </w:pPr>
            <w:r>
              <w:rPr>
                <w:rFonts w:ascii="Arial" w:hAnsi="Arial" w:cs="Arial"/>
                <w:color w:val="000000"/>
              </w:rPr>
              <w:t>97.39</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1973</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107.1304348</w:t>
            </w:r>
          </w:p>
        </w:tc>
        <w:tc>
          <w:tcPr>
            <w:tcW w:w="1701" w:type="dxa"/>
            <w:vAlign w:val="bottom"/>
          </w:tcPr>
          <w:p w:rsidR="000C075A" w:rsidRDefault="000C075A" w:rsidP="000C075A">
            <w:pPr>
              <w:rPr>
                <w:rFonts w:ascii="Arial" w:hAnsi="Arial" w:cs="Arial"/>
                <w:color w:val="000000"/>
              </w:rPr>
            </w:pPr>
            <w:r>
              <w:rPr>
                <w:rFonts w:ascii="Arial" w:hAnsi="Arial" w:cs="Arial"/>
                <w:color w:val="000000"/>
              </w:rPr>
              <w:t>154</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1974</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123.0286807</w:t>
            </w:r>
          </w:p>
        </w:tc>
        <w:tc>
          <w:tcPr>
            <w:tcW w:w="1701" w:type="dxa"/>
            <w:vAlign w:val="bottom"/>
          </w:tcPr>
          <w:p w:rsidR="000C075A" w:rsidRDefault="000C075A" w:rsidP="000C075A">
            <w:pPr>
              <w:rPr>
                <w:rFonts w:ascii="Arial" w:hAnsi="Arial" w:cs="Arial"/>
                <w:color w:val="000000"/>
              </w:rPr>
            </w:pPr>
            <w:r>
              <w:rPr>
                <w:rFonts w:ascii="Arial" w:hAnsi="Arial" w:cs="Arial"/>
                <w:color w:val="000000"/>
              </w:rPr>
              <w:t>160.86</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1975</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101.9673025</w:t>
            </w:r>
          </w:p>
        </w:tc>
        <w:tc>
          <w:tcPr>
            <w:tcW w:w="1701" w:type="dxa"/>
            <w:vAlign w:val="bottom"/>
          </w:tcPr>
          <w:p w:rsidR="000C075A" w:rsidRDefault="000C075A" w:rsidP="000C075A">
            <w:pPr>
              <w:rPr>
                <w:rFonts w:ascii="Arial" w:hAnsi="Arial" w:cs="Arial"/>
                <w:color w:val="000000"/>
              </w:rPr>
            </w:pPr>
            <w:r>
              <w:rPr>
                <w:rFonts w:ascii="Arial" w:hAnsi="Arial" w:cs="Arial"/>
                <w:color w:val="000000"/>
              </w:rPr>
              <w:t>124.74</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1976</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133.3894737</w:t>
            </w:r>
          </w:p>
        </w:tc>
        <w:tc>
          <w:tcPr>
            <w:tcW w:w="1701" w:type="dxa"/>
            <w:vAlign w:val="bottom"/>
          </w:tcPr>
          <w:p w:rsidR="000C075A" w:rsidRDefault="000C075A" w:rsidP="000C075A">
            <w:pPr>
              <w:rPr>
                <w:rFonts w:ascii="Arial" w:hAnsi="Arial" w:cs="Arial"/>
                <w:color w:val="000000"/>
              </w:rPr>
            </w:pPr>
            <w:r>
              <w:rPr>
                <w:rFonts w:ascii="Arial" w:hAnsi="Arial" w:cs="Arial"/>
                <w:color w:val="000000"/>
              </w:rPr>
              <w:t>147.84</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1977</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168.9082969</w:t>
            </w:r>
          </w:p>
        </w:tc>
        <w:tc>
          <w:tcPr>
            <w:tcW w:w="1701" w:type="dxa"/>
            <w:vAlign w:val="bottom"/>
          </w:tcPr>
          <w:p w:rsidR="000C075A" w:rsidRDefault="000C075A" w:rsidP="000C075A">
            <w:pPr>
              <w:rPr>
                <w:rFonts w:ascii="Arial" w:hAnsi="Arial" w:cs="Arial"/>
                <w:color w:val="000000"/>
              </w:rPr>
            </w:pPr>
            <w:r>
              <w:rPr>
                <w:rFonts w:ascii="Arial" w:hAnsi="Arial" w:cs="Arial"/>
                <w:color w:val="000000"/>
              </w:rPr>
              <w:t>193.4</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1978</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273.8255034</w:t>
            </w:r>
          </w:p>
        </w:tc>
        <w:tc>
          <w:tcPr>
            <w:tcW w:w="1701" w:type="dxa"/>
            <w:vAlign w:val="bottom"/>
          </w:tcPr>
          <w:p w:rsidR="000C075A" w:rsidRDefault="000C075A" w:rsidP="000C075A">
            <w:pPr>
              <w:rPr>
                <w:rFonts w:ascii="Arial" w:hAnsi="Arial" w:cs="Arial"/>
                <w:color w:val="000000"/>
              </w:rPr>
            </w:pPr>
            <w:r>
              <w:rPr>
                <w:rFonts w:ascii="Arial" w:hAnsi="Arial" w:cs="Arial"/>
                <w:color w:val="000000"/>
              </w:rPr>
              <w:t>306</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1979</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539.8683248</w:t>
            </w:r>
          </w:p>
        </w:tc>
        <w:tc>
          <w:tcPr>
            <w:tcW w:w="1701" w:type="dxa"/>
            <w:vAlign w:val="bottom"/>
          </w:tcPr>
          <w:p w:rsidR="000C075A" w:rsidRDefault="000C075A" w:rsidP="000C075A">
            <w:pPr>
              <w:rPr>
                <w:rFonts w:ascii="Arial" w:hAnsi="Arial" w:cs="Arial"/>
                <w:color w:val="000000"/>
              </w:rPr>
            </w:pPr>
            <w:r>
              <w:rPr>
                <w:rFonts w:ascii="Arial" w:hAnsi="Arial" w:cs="Arial"/>
                <w:color w:val="000000"/>
              </w:rPr>
              <w:t>615</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1980</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400.5805515</w:t>
            </w:r>
          </w:p>
        </w:tc>
        <w:tc>
          <w:tcPr>
            <w:tcW w:w="1701" w:type="dxa"/>
            <w:vAlign w:val="bottom"/>
          </w:tcPr>
          <w:p w:rsidR="000C075A" w:rsidRDefault="000C075A" w:rsidP="000C075A">
            <w:pPr>
              <w:rPr>
                <w:rFonts w:ascii="Arial" w:hAnsi="Arial" w:cs="Arial"/>
                <w:color w:val="000000"/>
              </w:rPr>
            </w:pPr>
            <w:r>
              <w:rPr>
                <w:rFonts w:ascii="Arial" w:hAnsi="Arial" w:cs="Arial"/>
                <w:color w:val="000000"/>
              </w:rPr>
              <w:t>460</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1981</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369.8360656</w:t>
            </w:r>
          </w:p>
        </w:tc>
        <w:tc>
          <w:tcPr>
            <w:tcW w:w="1701" w:type="dxa"/>
            <w:vAlign w:val="bottom"/>
          </w:tcPr>
          <w:p w:rsidR="000C075A" w:rsidRDefault="000C075A" w:rsidP="000C075A">
            <w:pPr>
              <w:rPr>
                <w:rFonts w:ascii="Arial" w:hAnsi="Arial" w:cs="Arial"/>
                <w:color w:val="000000"/>
              </w:rPr>
            </w:pPr>
            <w:r>
              <w:rPr>
                <w:rFonts w:ascii="Arial" w:hAnsi="Arial" w:cs="Arial"/>
                <w:color w:val="000000"/>
              </w:rPr>
              <w:t>376</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1982</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472.6937269</w:t>
            </w:r>
          </w:p>
        </w:tc>
        <w:tc>
          <w:tcPr>
            <w:tcW w:w="1701" w:type="dxa"/>
            <w:vAlign w:val="bottom"/>
          </w:tcPr>
          <w:p w:rsidR="000C075A" w:rsidRDefault="000C075A" w:rsidP="000C075A">
            <w:pPr>
              <w:rPr>
                <w:rFonts w:ascii="Arial" w:hAnsi="Arial" w:cs="Arial"/>
                <w:color w:val="000000"/>
              </w:rPr>
            </w:pPr>
            <w:r>
              <w:rPr>
                <w:rFonts w:ascii="Arial" w:hAnsi="Arial" w:cs="Arial"/>
                <w:color w:val="000000"/>
              </w:rPr>
              <w:t>427</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1983</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410.6161137</w:t>
            </w:r>
          </w:p>
        </w:tc>
        <w:tc>
          <w:tcPr>
            <w:tcW w:w="1701" w:type="dxa"/>
            <w:vAlign w:val="bottom"/>
          </w:tcPr>
          <w:p w:rsidR="000C075A" w:rsidRDefault="000C075A" w:rsidP="000C075A">
            <w:pPr>
              <w:rPr>
                <w:rFonts w:ascii="Arial" w:hAnsi="Arial" w:cs="Arial"/>
                <w:color w:val="000000"/>
              </w:rPr>
            </w:pPr>
            <w:r>
              <w:rPr>
                <w:rFonts w:ascii="Arial" w:hAnsi="Arial" w:cs="Arial"/>
                <w:color w:val="000000"/>
              </w:rPr>
              <w:t>361</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1984</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451.2455516</w:t>
            </w:r>
          </w:p>
        </w:tc>
        <w:tc>
          <w:tcPr>
            <w:tcW w:w="1701" w:type="dxa"/>
            <w:vAlign w:val="bottom"/>
          </w:tcPr>
          <w:p w:rsidR="000C075A" w:rsidRDefault="000C075A" w:rsidP="000C075A">
            <w:pPr>
              <w:rPr>
                <w:rFonts w:ascii="Arial" w:hAnsi="Arial" w:cs="Arial"/>
                <w:color w:val="000000"/>
              </w:rPr>
            </w:pPr>
            <w:r>
              <w:rPr>
                <w:rFonts w:ascii="Arial" w:hAnsi="Arial" w:cs="Arial"/>
                <w:color w:val="000000"/>
              </w:rPr>
              <w:t>317</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1985</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548.5714286</w:t>
            </w:r>
          </w:p>
        </w:tc>
        <w:tc>
          <w:tcPr>
            <w:tcW w:w="1701" w:type="dxa"/>
            <w:vAlign w:val="bottom"/>
          </w:tcPr>
          <w:p w:rsidR="000C075A" w:rsidRDefault="000C075A" w:rsidP="000C075A">
            <w:pPr>
              <w:rPr>
                <w:rFonts w:ascii="Arial" w:hAnsi="Arial" w:cs="Arial"/>
                <w:color w:val="000000"/>
              </w:rPr>
            </w:pPr>
            <w:r>
              <w:rPr>
                <w:rFonts w:ascii="Arial" w:hAnsi="Arial" w:cs="Arial"/>
                <w:color w:val="000000"/>
              </w:rPr>
              <w:t>368</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1986</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637.0546318</w:t>
            </w:r>
          </w:p>
        </w:tc>
        <w:tc>
          <w:tcPr>
            <w:tcW w:w="1701" w:type="dxa"/>
            <w:vAlign w:val="bottom"/>
          </w:tcPr>
          <w:p w:rsidR="000C075A" w:rsidRDefault="000C075A" w:rsidP="000C075A">
            <w:pPr>
              <w:rPr>
                <w:rFonts w:ascii="Arial" w:hAnsi="Arial" w:cs="Arial"/>
                <w:color w:val="000000"/>
              </w:rPr>
            </w:pPr>
            <w:r>
              <w:rPr>
                <w:rFonts w:ascii="Arial" w:hAnsi="Arial" w:cs="Arial"/>
                <w:color w:val="000000"/>
              </w:rPr>
              <w:t>447</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1987</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557.2794899</w:t>
            </w:r>
          </w:p>
        </w:tc>
        <w:tc>
          <w:tcPr>
            <w:tcW w:w="1701" w:type="dxa"/>
            <w:vAlign w:val="bottom"/>
          </w:tcPr>
          <w:p w:rsidR="000C075A" w:rsidRDefault="000C075A" w:rsidP="000C075A">
            <w:pPr>
              <w:rPr>
                <w:rFonts w:ascii="Arial" w:hAnsi="Arial" w:cs="Arial"/>
                <w:color w:val="000000"/>
              </w:rPr>
            </w:pPr>
            <w:r>
              <w:rPr>
                <w:rFonts w:ascii="Arial" w:hAnsi="Arial" w:cs="Arial"/>
                <w:color w:val="000000"/>
              </w:rPr>
              <w:t>437</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1988</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477.7429467</w:t>
            </w:r>
          </w:p>
        </w:tc>
        <w:tc>
          <w:tcPr>
            <w:tcW w:w="1701" w:type="dxa"/>
            <w:vAlign w:val="bottom"/>
          </w:tcPr>
          <w:p w:rsidR="000C075A" w:rsidRDefault="000C075A" w:rsidP="000C075A">
            <w:pPr>
              <w:rPr>
                <w:rFonts w:ascii="Arial" w:hAnsi="Arial" w:cs="Arial"/>
                <w:color w:val="000000"/>
              </w:rPr>
            </w:pPr>
            <w:r>
              <w:rPr>
                <w:rFonts w:ascii="Arial" w:hAnsi="Arial" w:cs="Arial"/>
                <w:color w:val="000000"/>
              </w:rPr>
              <w:t>381</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1989</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491.1547492</w:t>
            </w:r>
          </w:p>
        </w:tc>
        <w:tc>
          <w:tcPr>
            <w:tcW w:w="1701" w:type="dxa"/>
            <w:vAlign w:val="bottom"/>
          </w:tcPr>
          <w:p w:rsidR="000C075A" w:rsidRDefault="000C075A" w:rsidP="000C075A">
            <w:pPr>
              <w:rPr>
                <w:rFonts w:ascii="Arial" w:hAnsi="Arial" w:cs="Arial"/>
                <w:color w:val="000000"/>
              </w:rPr>
            </w:pPr>
            <w:r>
              <w:rPr>
                <w:rFonts w:ascii="Arial" w:hAnsi="Arial" w:cs="Arial"/>
                <w:color w:val="000000"/>
              </w:rPr>
              <w:t>383.51</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1990</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465.7363344</w:t>
            </w:r>
          </w:p>
        </w:tc>
        <w:tc>
          <w:tcPr>
            <w:tcW w:w="1701" w:type="dxa"/>
            <w:vAlign w:val="bottom"/>
          </w:tcPr>
          <w:p w:rsidR="000C075A" w:rsidRDefault="000C075A" w:rsidP="000C075A">
            <w:pPr>
              <w:rPr>
                <w:rFonts w:ascii="Arial" w:hAnsi="Arial" w:cs="Arial"/>
                <w:color w:val="000000"/>
              </w:rPr>
            </w:pPr>
            <w:r>
              <w:rPr>
                <w:rFonts w:ascii="Arial" w:hAnsi="Arial" w:cs="Arial"/>
                <w:color w:val="000000"/>
              </w:rPr>
              <w:t>362.11</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1991</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467.7823129</w:t>
            </w:r>
          </w:p>
        </w:tc>
        <w:tc>
          <w:tcPr>
            <w:tcW w:w="1701" w:type="dxa"/>
            <w:vAlign w:val="bottom"/>
          </w:tcPr>
          <w:p w:rsidR="000C075A" w:rsidRDefault="000C075A" w:rsidP="000C075A">
            <w:pPr>
              <w:rPr>
                <w:rFonts w:ascii="Arial" w:hAnsi="Arial" w:cs="Arial"/>
                <w:color w:val="000000"/>
              </w:rPr>
            </w:pPr>
            <w:r>
              <w:rPr>
                <w:rFonts w:ascii="Arial" w:hAnsi="Arial" w:cs="Arial"/>
                <w:color w:val="000000"/>
              </w:rPr>
              <w:t>343.82</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1992</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530.3734644</w:t>
            </w:r>
          </w:p>
        </w:tc>
        <w:tc>
          <w:tcPr>
            <w:tcW w:w="1701" w:type="dxa"/>
            <w:vAlign w:val="bottom"/>
          </w:tcPr>
          <w:p w:rsidR="000C075A" w:rsidRDefault="000C075A" w:rsidP="000C075A">
            <w:pPr>
              <w:rPr>
                <w:rFonts w:ascii="Arial" w:hAnsi="Arial" w:cs="Arial"/>
                <w:color w:val="000000"/>
              </w:rPr>
            </w:pPr>
            <w:r>
              <w:rPr>
                <w:rFonts w:ascii="Arial" w:hAnsi="Arial" w:cs="Arial"/>
                <w:color w:val="000000"/>
              </w:rPr>
              <w:t>359.77</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1993</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525.4275941</w:t>
            </w:r>
          </w:p>
        </w:tc>
        <w:tc>
          <w:tcPr>
            <w:tcW w:w="1701" w:type="dxa"/>
            <w:vAlign w:val="bottom"/>
          </w:tcPr>
          <w:p w:rsidR="000C075A" w:rsidRDefault="000C075A" w:rsidP="000C075A">
            <w:pPr>
              <w:rPr>
                <w:rFonts w:ascii="Arial" w:hAnsi="Arial" w:cs="Arial"/>
                <w:color w:val="000000"/>
              </w:rPr>
            </w:pPr>
            <w:r>
              <w:rPr>
                <w:rFonts w:ascii="Arial" w:hAnsi="Arial" w:cs="Arial"/>
                <w:color w:val="000000"/>
              </w:rPr>
              <w:t>384</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1994</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518.0517435</w:t>
            </w:r>
          </w:p>
        </w:tc>
        <w:tc>
          <w:tcPr>
            <w:tcW w:w="1701" w:type="dxa"/>
            <w:vAlign w:val="bottom"/>
          </w:tcPr>
          <w:p w:rsidR="000C075A" w:rsidRDefault="000C075A" w:rsidP="000C075A">
            <w:pPr>
              <w:rPr>
                <w:rFonts w:ascii="Arial" w:hAnsi="Arial" w:cs="Arial"/>
                <w:color w:val="000000"/>
              </w:rPr>
            </w:pPr>
            <w:r>
              <w:rPr>
                <w:rFonts w:ascii="Arial" w:hAnsi="Arial" w:cs="Arial"/>
                <w:color w:val="000000"/>
              </w:rPr>
              <w:t>383.79</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1995</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524.6583991</w:t>
            </w:r>
          </w:p>
        </w:tc>
        <w:tc>
          <w:tcPr>
            <w:tcW w:w="1701" w:type="dxa"/>
            <w:vAlign w:val="bottom"/>
          </w:tcPr>
          <w:p w:rsidR="000C075A" w:rsidRDefault="000C075A" w:rsidP="000C075A">
            <w:pPr>
              <w:rPr>
                <w:rFonts w:ascii="Arial" w:hAnsi="Arial" w:cs="Arial"/>
                <w:color w:val="000000"/>
              </w:rPr>
            </w:pPr>
            <w:r>
              <w:rPr>
                <w:rFonts w:ascii="Arial" w:hAnsi="Arial" w:cs="Arial"/>
                <w:color w:val="000000"/>
              </w:rPr>
              <w:t>387.81</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1996</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444.8197088</w:t>
            </w:r>
          </w:p>
        </w:tc>
        <w:tc>
          <w:tcPr>
            <w:tcW w:w="1701" w:type="dxa"/>
            <w:vAlign w:val="bottom"/>
          </w:tcPr>
          <w:p w:rsidR="000C075A" w:rsidRDefault="000C075A" w:rsidP="000C075A">
            <w:pPr>
              <w:rPr>
                <w:rFonts w:ascii="Arial" w:hAnsi="Arial" w:cs="Arial"/>
                <w:color w:val="000000"/>
              </w:rPr>
            </w:pPr>
            <w:r>
              <w:rPr>
                <w:rFonts w:ascii="Arial" w:hAnsi="Arial" w:cs="Arial"/>
                <w:color w:val="000000"/>
              </w:rPr>
              <w:t>331.02</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1997</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467.6662252</w:t>
            </w:r>
          </w:p>
        </w:tc>
        <w:tc>
          <w:tcPr>
            <w:tcW w:w="1701" w:type="dxa"/>
            <w:vAlign w:val="bottom"/>
          </w:tcPr>
          <w:p w:rsidR="000C075A" w:rsidRDefault="000C075A" w:rsidP="000C075A">
            <w:pPr>
              <w:rPr>
                <w:rFonts w:ascii="Arial" w:hAnsi="Arial" w:cs="Arial"/>
                <w:color w:val="000000"/>
              </w:rPr>
            </w:pPr>
            <w:r>
              <w:rPr>
                <w:rFonts w:ascii="Arial" w:hAnsi="Arial" w:cs="Arial"/>
                <w:color w:val="000000"/>
              </w:rPr>
              <w:t>294.24</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1998</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432.5271318</w:t>
            </w:r>
          </w:p>
        </w:tc>
        <w:tc>
          <w:tcPr>
            <w:tcW w:w="1701" w:type="dxa"/>
            <w:vAlign w:val="bottom"/>
          </w:tcPr>
          <w:p w:rsidR="000C075A" w:rsidRDefault="000C075A" w:rsidP="000C075A">
            <w:pPr>
              <w:rPr>
                <w:rFonts w:ascii="Arial" w:hAnsi="Arial" w:cs="Arial"/>
                <w:color w:val="000000"/>
              </w:rPr>
            </w:pPr>
            <w:r>
              <w:rPr>
                <w:rFonts w:ascii="Arial" w:hAnsi="Arial" w:cs="Arial"/>
                <w:color w:val="000000"/>
              </w:rPr>
              <w:t>278.98</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1999</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479.1587983</w:t>
            </w:r>
          </w:p>
        </w:tc>
        <w:tc>
          <w:tcPr>
            <w:tcW w:w="1701" w:type="dxa"/>
            <w:vAlign w:val="bottom"/>
          </w:tcPr>
          <w:p w:rsidR="000C075A" w:rsidRDefault="000C075A" w:rsidP="000C075A">
            <w:pPr>
              <w:rPr>
                <w:rFonts w:ascii="Arial" w:hAnsi="Arial" w:cs="Arial"/>
                <w:color w:val="000000"/>
              </w:rPr>
            </w:pPr>
            <w:r>
              <w:rPr>
                <w:rFonts w:ascii="Arial" w:hAnsi="Arial" w:cs="Arial"/>
                <w:color w:val="000000"/>
              </w:rPr>
              <w:t>279.11</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2000</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525.4410339</w:t>
            </w:r>
          </w:p>
        </w:tc>
        <w:tc>
          <w:tcPr>
            <w:tcW w:w="1701" w:type="dxa"/>
            <w:vAlign w:val="bottom"/>
          </w:tcPr>
          <w:p w:rsidR="000C075A" w:rsidRDefault="000C075A" w:rsidP="000C075A">
            <w:pPr>
              <w:rPr>
                <w:rFonts w:ascii="Arial" w:hAnsi="Arial" w:cs="Arial"/>
                <w:color w:val="000000"/>
              </w:rPr>
            </w:pPr>
            <w:r>
              <w:rPr>
                <w:rFonts w:ascii="Arial" w:hAnsi="Arial" w:cs="Arial"/>
                <w:color w:val="000000"/>
              </w:rPr>
              <w:t>271.04</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2001</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569.1822358</w:t>
            </w:r>
          </w:p>
        </w:tc>
        <w:tc>
          <w:tcPr>
            <w:tcW w:w="1701" w:type="dxa"/>
            <w:vAlign w:val="bottom"/>
          </w:tcPr>
          <w:p w:rsidR="000C075A" w:rsidRDefault="000C075A" w:rsidP="000C075A">
            <w:pPr>
              <w:rPr>
                <w:rFonts w:ascii="Arial" w:hAnsi="Arial" w:cs="Arial"/>
                <w:color w:val="000000"/>
              </w:rPr>
            </w:pPr>
            <w:r>
              <w:rPr>
                <w:rFonts w:ascii="Arial" w:hAnsi="Arial" w:cs="Arial"/>
                <w:color w:val="000000"/>
              </w:rPr>
              <w:t>309.73</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2002</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556.9042146</w:t>
            </w:r>
          </w:p>
        </w:tc>
        <w:tc>
          <w:tcPr>
            <w:tcW w:w="1701" w:type="dxa"/>
            <w:vAlign w:val="bottom"/>
          </w:tcPr>
          <w:p w:rsidR="000C075A" w:rsidRDefault="000C075A" w:rsidP="000C075A">
            <w:pPr>
              <w:rPr>
                <w:rFonts w:ascii="Arial" w:hAnsi="Arial" w:cs="Arial"/>
                <w:color w:val="000000"/>
              </w:rPr>
            </w:pPr>
            <w:r>
              <w:rPr>
                <w:rFonts w:ascii="Arial" w:hAnsi="Arial" w:cs="Arial"/>
                <w:color w:val="000000"/>
              </w:rPr>
              <w:t>363.38</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2003</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556.810872</w:t>
            </w:r>
          </w:p>
        </w:tc>
        <w:tc>
          <w:tcPr>
            <w:tcW w:w="1701" w:type="dxa"/>
            <w:vAlign w:val="bottom"/>
          </w:tcPr>
          <w:p w:rsidR="000C075A" w:rsidRDefault="000C075A" w:rsidP="000C075A">
            <w:pPr>
              <w:rPr>
                <w:rFonts w:ascii="Arial" w:hAnsi="Arial" w:cs="Arial"/>
                <w:color w:val="000000"/>
              </w:rPr>
            </w:pPr>
            <w:r>
              <w:rPr>
                <w:rFonts w:ascii="Arial" w:hAnsi="Arial" w:cs="Arial"/>
                <w:color w:val="000000"/>
              </w:rPr>
              <w:t>409.72</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2004</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583.2655738</w:t>
            </w:r>
          </w:p>
        </w:tc>
        <w:tc>
          <w:tcPr>
            <w:tcW w:w="1701" w:type="dxa"/>
            <w:vAlign w:val="bottom"/>
          </w:tcPr>
          <w:p w:rsidR="000C075A" w:rsidRDefault="000C075A" w:rsidP="000C075A">
            <w:pPr>
              <w:rPr>
                <w:rFonts w:ascii="Arial" w:hAnsi="Arial" w:cs="Arial"/>
                <w:color w:val="000000"/>
              </w:rPr>
            </w:pPr>
            <w:r>
              <w:rPr>
                <w:rFonts w:ascii="Arial" w:hAnsi="Arial" w:cs="Arial"/>
                <w:color w:val="000000"/>
              </w:rPr>
              <w:t>444.74</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2005</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801.9401993</w:t>
            </w:r>
          </w:p>
        </w:tc>
        <w:tc>
          <w:tcPr>
            <w:tcW w:w="1701" w:type="dxa"/>
            <w:vAlign w:val="bottom"/>
          </w:tcPr>
          <w:p w:rsidR="000C075A" w:rsidRDefault="000C075A" w:rsidP="000C075A">
            <w:pPr>
              <w:rPr>
                <w:rFonts w:ascii="Arial" w:hAnsi="Arial" w:cs="Arial"/>
                <w:color w:val="000000"/>
              </w:rPr>
            </w:pPr>
            <w:r>
              <w:rPr>
                <w:rFonts w:ascii="Arial" w:hAnsi="Arial" w:cs="Arial"/>
                <w:color w:val="000000"/>
              </w:rPr>
              <w:t>603.46</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2006</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828.6673287</w:t>
            </w:r>
          </w:p>
        </w:tc>
        <w:tc>
          <w:tcPr>
            <w:tcW w:w="1701" w:type="dxa"/>
            <w:vAlign w:val="bottom"/>
          </w:tcPr>
          <w:p w:rsidR="000C075A" w:rsidRDefault="000C075A" w:rsidP="000C075A">
            <w:pPr>
              <w:rPr>
                <w:rFonts w:ascii="Arial" w:hAnsi="Arial" w:cs="Arial"/>
                <w:color w:val="000000"/>
              </w:rPr>
            </w:pPr>
            <w:r>
              <w:rPr>
                <w:rFonts w:ascii="Arial" w:hAnsi="Arial" w:cs="Arial"/>
                <w:color w:val="000000"/>
              </w:rPr>
              <w:t>695.39</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2007</w:t>
            </w:r>
          </w:p>
        </w:tc>
      </w:tr>
      <w:tr w:rsidR="000C075A" w:rsidTr="00EF4AE9">
        <w:tc>
          <w:tcPr>
            <w:tcW w:w="2177" w:type="dxa"/>
            <w:vAlign w:val="bottom"/>
          </w:tcPr>
          <w:p w:rsidR="000C075A" w:rsidRDefault="000C075A" w:rsidP="000C075A">
            <w:pPr>
              <w:rPr>
                <w:rFonts w:ascii="Arial" w:hAnsi="Arial" w:cs="Arial"/>
                <w:color w:val="000000"/>
              </w:rPr>
            </w:pPr>
            <w:r>
              <w:rPr>
                <w:rFonts w:ascii="Arial" w:hAnsi="Arial" w:cs="Arial"/>
                <w:color w:val="000000"/>
              </w:rPr>
              <w:t>1023.827789</w:t>
            </w:r>
          </w:p>
        </w:tc>
        <w:tc>
          <w:tcPr>
            <w:tcW w:w="1701" w:type="dxa"/>
            <w:vAlign w:val="bottom"/>
          </w:tcPr>
          <w:p w:rsidR="000C075A" w:rsidRDefault="000C075A" w:rsidP="000C075A">
            <w:pPr>
              <w:rPr>
                <w:rFonts w:ascii="Arial" w:hAnsi="Arial" w:cs="Arial"/>
                <w:color w:val="000000"/>
              </w:rPr>
            </w:pPr>
            <w:r>
              <w:rPr>
                <w:rFonts w:ascii="Arial" w:hAnsi="Arial" w:cs="Arial"/>
                <w:color w:val="000000"/>
              </w:rPr>
              <w:t>871.96</w:t>
            </w:r>
          </w:p>
        </w:tc>
        <w:tc>
          <w:tcPr>
            <w:tcW w:w="1242" w:type="dxa"/>
            <w:vAlign w:val="bottom"/>
          </w:tcPr>
          <w:p w:rsidR="000C075A" w:rsidRPr="009B7B8B" w:rsidRDefault="000C075A" w:rsidP="000C075A">
            <w:pPr>
              <w:rPr>
                <w:rFonts w:asciiTheme="majorBidi" w:hAnsiTheme="majorBidi" w:cstheme="majorBidi"/>
                <w:color w:val="000000"/>
                <w:sz w:val="24"/>
                <w:szCs w:val="24"/>
              </w:rPr>
            </w:pPr>
            <w:r w:rsidRPr="009B7B8B">
              <w:rPr>
                <w:rFonts w:asciiTheme="majorBidi" w:hAnsiTheme="majorBidi" w:cstheme="majorBidi"/>
                <w:color w:val="000000"/>
                <w:sz w:val="24"/>
                <w:szCs w:val="24"/>
              </w:rPr>
              <w:t>2008</w:t>
            </w:r>
          </w:p>
        </w:tc>
      </w:tr>
    </w:tbl>
    <w:p w:rsidR="000C075A" w:rsidRDefault="000C075A" w:rsidP="000C075A">
      <w:pPr>
        <w:jc w:val="right"/>
        <w:rPr>
          <w:rFonts w:asciiTheme="majorBidi" w:hAnsiTheme="majorBidi" w:cstheme="majorBidi"/>
          <w:b/>
          <w:bCs/>
          <w:lang w:bidi="ar-EG"/>
        </w:rPr>
      </w:pPr>
    </w:p>
    <w:p w:rsidR="000C075A" w:rsidRDefault="000C075A" w:rsidP="000C075A">
      <w:pPr>
        <w:rPr>
          <w:rFonts w:asciiTheme="majorBidi" w:hAnsiTheme="majorBidi" w:cstheme="majorBidi"/>
          <w:b/>
          <w:bCs/>
          <w:lang w:bidi="ar-EG"/>
        </w:rPr>
      </w:pPr>
    </w:p>
    <w:p w:rsidR="002E760E" w:rsidRDefault="002E760E" w:rsidP="002E760E">
      <w:pPr>
        <w:rPr>
          <w:rFonts w:asciiTheme="majorBidi" w:hAnsiTheme="majorBidi" w:cstheme="majorBidi"/>
          <w:b/>
          <w:bCs/>
          <w:lang w:bidi="ar-EG"/>
        </w:rPr>
      </w:pPr>
      <w:r>
        <w:t>Source: goldprice.org</w:t>
      </w:r>
    </w:p>
    <w:p w:rsidR="000C075A" w:rsidRDefault="000C075A" w:rsidP="000C075A">
      <w:pPr>
        <w:rPr>
          <w:rFonts w:asciiTheme="majorBidi" w:hAnsiTheme="majorBidi" w:cstheme="majorBidi"/>
          <w:b/>
          <w:bCs/>
          <w:lang w:bidi="ar-EG"/>
        </w:rPr>
      </w:pPr>
    </w:p>
    <w:p w:rsidR="00D31224" w:rsidRDefault="00D31224" w:rsidP="000C075A">
      <w:pPr>
        <w:rPr>
          <w:rFonts w:asciiTheme="majorBidi" w:hAnsiTheme="majorBidi" w:cstheme="majorBidi"/>
          <w:b/>
          <w:bCs/>
          <w:lang w:bidi="ar-EG"/>
        </w:rPr>
      </w:pPr>
    </w:p>
    <w:p w:rsidR="000C075A" w:rsidRDefault="000C075A" w:rsidP="000C075A">
      <w:pPr>
        <w:rPr>
          <w:rFonts w:asciiTheme="majorBidi" w:hAnsiTheme="majorBidi" w:cstheme="majorBidi"/>
          <w:b/>
          <w:bCs/>
          <w:lang w:bidi="ar-EG"/>
        </w:rPr>
      </w:pPr>
      <w:r w:rsidRPr="00006D66">
        <w:rPr>
          <w:rFonts w:asciiTheme="majorBidi" w:hAnsiTheme="majorBidi" w:cstheme="majorBidi"/>
          <w:b/>
          <w:bCs/>
          <w:lang w:bidi="ar-EG"/>
        </w:rPr>
        <w:lastRenderedPageBreak/>
        <w:t>Table (</w:t>
      </w:r>
      <w:r>
        <w:rPr>
          <w:rFonts w:asciiTheme="majorBidi" w:hAnsiTheme="majorBidi" w:cstheme="majorBidi"/>
          <w:b/>
          <w:bCs/>
          <w:lang w:bidi="ar-EG"/>
        </w:rPr>
        <w:t>6</w:t>
      </w:r>
      <w:r w:rsidRPr="00006D66">
        <w:rPr>
          <w:rFonts w:asciiTheme="majorBidi" w:hAnsiTheme="majorBidi" w:cstheme="majorBidi"/>
          <w:b/>
          <w:bCs/>
          <w:lang w:bidi="ar-EG"/>
        </w:rPr>
        <w:t>)</w:t>
      </w:r>
      <w:r>
        <w:rPr>
          <w:rFonts w:asciiTheme="majorBidi" w:hAnsiTheme="majorBidi" w:cstheme="majorBidi"/>
          <w:b/>
          <w:bCs/>
          <w:lang w:bidi="ar-EG"/>
        </w:rPr>
        <w:t xml:space="preserve"> the exchange rate</w:t>
      </w:r>
      <w:r w:rsidRPr="00006D66">
        <w:rPr>
          <w:rFonts w:asciiTheme="majorBidi" w:hAnsiTheme="majorBidi" w:cstheme="majorBidi"/>
          <w:b/>
          <w:bCs/>
          <w:lang w:bidi="ar-EG"/>
        </w:rPr>
        <w:t>:</w:t>
      </w:r>
    </w:p>
    <w:p w:rsidR="000C075A" w:rsidRDefault="000C075A" w:rsidP="000C075A">
      <w:pPr>
        <w:rPr>
          <w:rFonts w:asciiTheme="majorBidi" w:hAnsiTheme="majorBidi" w:cstheme="majorBidi"/>
          <w:b/>
          <w:bCs/>
          <w:lang w:bidi="ar-EG"/>
        </w:rPr>
      </w:pPr>
    </w:p>
    <w:tbl>
      <w:tblPr>
        <w:tblStyle w:val="TableGrid"/>
        <w:bidiVisual/>
        <w:tblW w:w="0" w:type="auto"/>
        <w:tblInd w:w="2157" w:type="dxa"/>
        <w:tblLook w:val="04A0"/>
      </w:tblPr>
      <w:tblGrid>
        <w:gridCol w:w="2177"/>
        <w:gridCol w:w="1701"/>
        <w:gridCol w:w="1242"/>
      </w:tblGrid>
      <w:tr w:rsidR="000C075A" w:rsidTr="00EF4AE9">
        <w:tc>
          <w:tcPr>
            <w:tcW w:w="2177" w:type="dxa"/>
          </w:tcPr>
          <w:p w:rsidR="000C075A" w:rsidRDefault="000C075A" w:rsidP="000C075A">
            <w:pPr>
              <w:rPr>
                <w:rFonts w:asciiTheme="majorBidi" w:hAnsiTheme="majorBidi" w:cstheme="majorBidi"/>
                <w:b/>
                <w:bCs/>
                <w:sz w:val="24"/>
                <w:szCs w:val="24"/>
                <w:rtl/>
                <w:lang w:bidi="ar-EG"/>
              </w:rPr>
            </w:pPr>
            <w:r>
              <w:rPr>
                <w:rFonts w:asciiTheme="majorBidi" w:hAnsiTheme="majorBidi" w:cstheme="majorBidi"/>
                <w:b/>
                <w:bCs/>
                <w:sz w:val="24"/>
                <w:szCs w:val="24"/>
                <w:lang w:bidi="ar-EG"/>
              </w:rPr>
              <w:t>US $ per 1 GBP</w:t>
            </w:r>
          </w:p>
        </w:tc>
        <w:tc>
          <w:tcPr>
            <w:tcW w:w="1701" w:type="dxa"/>
          </w:tcPr>
          <w:p w:rsidR="000C075A" w:rsidRDefault="000C075A" w:rsidP="000C075A">
            <w:pPr>
              <w:rPr>
                <w:rFonts w:asciiTheme="majorBidi" w:hAnsiTheme="majorBidi" w:cstheme="majorBidi"/>
                <w:b/>
                <w:bCs/>
                <w:sz w:val="24"/>
                <w:szCs w:val="24"/>
                <w:rtl/>
                <w:lang w:bidi="ar-EG"/>
              </w:rPr>
            </w:pPr>
            <w:r>
              <w:rPr>
                <w:rFonts w:asciiTheme="majorBidi" w:hAnsiTheme="majorBidi" w:cstheme="majorBidi"/>
                <w:b/>
                <w:bCs/>
                <w:sz w:val="24"/>
                <w:szCs w:val="24"/>
                <w:lang w:bidi="ar-EG"/>
              </w:rPr>
              <w:t>US $ per 1GBP</w:t>
            </w:r>
          </w:p>
        </w:tc>
        <w:tc>
          <w:tcPr>
            <w:tcW w:w="1242" w:type="dxa"/>
          </w:tcPr>
          <w:p w:rsidR="000C075A" w:rsidRDefault="000C075A" w:rsidP="000C075A">
            <w:pPr>
              <w:rPr>
                <w:rFonts w:asciiTheme="majorBidi" w:hAnsiTheme="majorBidi" w:cstheme="majorBidi"/>
                <w:b/>
                <w:bCs/>
                <w:sz w:val="24"/>
                <w:szCs w:val="24"/>
                <w:lang w:bidi="ar-EG"/>
              </w:rPr>
            </w:pPr>
            <w:r>
              <w:rPr>
                <w:rFonts w:asciiTheme="majorBidi" w:hAnsiTheme="majorBidi" w:cstheme="majorBidi"/>
                <w:b/>
                <w:bCs/>
                <w:sz w:val="24"/>
                <w:szCs w:val="24"/>
                <w:lang w:bidi="ar-EG"/>
              </w:rPr>
              <w:t>Year</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348.046</w:t>
            </w:r>
          </w:p>
        </w:tc>
        <w:tc>
          <w:tcPr>
            <w:tcW w:w="1701" w:type="dxa"/>
            <w:vAlign w:val="bottom"/>
          </w:tcPr>
          <w:p w:rsidR="000C075A" w:rsidRDefault="000C075A" w:rsidP="00EF4AE9">
            <w:pPr>
              <w:rPr>
                <w:rFonts w:ascii="Arial" w:hAnsi="Arial" w:cs="Arial"/>
                <w:color w:val="000000"/>
              </w:rPr>
            </w:pPr>
            <w:r>
              <w:rPr>
                <w:rFonts w:ascii="Arial" w:hAnsi="Arial" w:cs="Arial"/>
                <w:color w:val="000000"/>
              </w:rPr>
              <w:t>0.41667</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1971</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303.1124</w:t>
            </w:r>
          </w:p>
        </w:tc>
        <w:tc>
          <w:tcPr>
            <w:tcW w:w="1701" w:type="dxa"/>
            <w:vAlign w:val="bottom"/>
          </w:tcPr>
          <w:p w:rsidR="000C075A" w:rsidRDefault="000C075A" w:rsidP="00EF4AE9">
            <w:pPr>
              <w:rPr>
                <w:rFonts w:ascii="Arial" w:hAnsi="Arial" w:cs="Arial"/>
                <w:color w:val="000000"/>
              </w:rPr>
            </w:pPr>
            <w:r>
              <w:rPr>
                <w:rFonts w:ascii="Arial" w:hAnsi="Arial" w:cs="Arial"/>
                <w:color w:val="000000"/>
              </w:rPr>
              <w:t>0.41092</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1972</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271.3978</w:t>
            </w:r>
          </w:p>
        </w:tc>
        <w:tc>
          <w:tcPr>
            <w:tcW w:w="1701" w:type="dxa"/>
            <w:vAlign w:val="bottom"/>
          </w:tcPr>
          <w:p w:rsidR="000C075A" w:rsidRDefault="000C075A" w:rsidP="00EF4AE9">
            <w:pPr>
              <w:rPr>
                <w:rFonts w:ascii="Arial" w:hAnsi="Arial" w:cs="Arial"/>
                <w:color w:val="000000"/>
              </w:rPr>
            </w:pPr>
            <w:r>
              <w:rPr>
                <w:rFonts w:ascii="Arial" w:hAnsi="Arial" w:cs="Arial"/>
                <w:color w:val="000000"/>
              </w:rPr>
              <w:t>0.40039</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1973</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291.9412</w:t>
            </w:r>
          </w:p>
        </w:tc>
        <w:tc>
          <w:tcPr>
            <w:tcW w:w="1701" w:type="dxa"/>
            <w:vAlign w:val="bottom"/>
          </w:tcPr>
          <w:p w:rsidR="000C075A" w:rsidRDefault="000C075A" w:rsidP="00EF4AE9">
            <w:pPr>
              <w:rPr>
                <w:rFonts w:ascii="Arial" w:hAnsi="Arial" w:cs="Arial"/>
                <w:color w:val="000000"/>
              </w:rPr>
            </w:pPr>
            <w:r>
              <w:rPr>
                <w:rFonts w:ascii="Arial" w:hAnsi="Arial" w:cs="Arial"/>
                <w:color w:val="000000"/>
              </w:rPr>
              <w:t>0.40817</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1974</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296.7663</w:t>
            </w:r>
          </w:p>
        </w:tc>
        <w:tc>
          <w:tcPr>
            <w:tcW w:w="1701" w:type="dxa"/>
            <w:vAlign w:val="bottom"/>
          </w:tcPr>
          <w:p w:rsidR="000C075A" w:rsidRDefault="000C075A" w:rsidP="00EF4AE9">
            <w:pPr>
              <w:rPr>
                <w:rFonts w:ascii="Arial" w:hAnsi="Arial" w:cs="Arial"/>
                <w:color w:val="000000"/>
              </w:rPr>
            </w:pPr>
            <w:r>
              <w:rPr>
                <w:rFonts w:ascii="Arial" w:hAnsi="Arial" w:cs="Arial"/>
                <w:color w:val="000000"/>
              </w:rPr>
              <w:t>0.42776</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1975</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296.478</w:t>
            </w:r>
          </w:p>
        </w:tc>
        <w:tc>
          <w:tcPr>
            <w:tcW w:w="1701" w:type="dxa"/>
            <w:vAlign w:val="bottom"/>
          </w:tcPr>
          <w:p w:rsidR="000C075A" w:rsidRDefault="000C075A" w:rsidP="00EF4AE9">
            <w:pPr>
              <w:rPr>
                <w:rFonts w:ascii="Arial" w:hAnsi="Arial" w:cs="Arial"/>
                <w:color w:val="000000"/>
              </w:rPr>
            </w:pPr>
            <w:r>
              <w:rPr>
                <w:rFonts w:ascii="Arial" w:hAnsi="Arial" w:cs="Arial"/>
                <w:color w:val="000000"/>
              </w:rPr>
              <w:t>0.45204</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1976</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268.3813</w:t>
            </w:r>
          </w:p>
        </w:tc>
        <w:tc>
          <w:tcPr>
            <w:tcW w:w="1701" w:type="dxa"/>
            <w:vAlign w:val="bottom"/>
          </w:tcPr>
          <w:p w:rsidR="000C075A" w:rsidRDefault="000C075A" w:rsidP="00EF4AE9">
            <w:pPr>
              <w:rPr>
                <w:rFonts w:ascii="Arial" w:hAnsi="Arial" w:cs="Arial"/>
                <w:color w:val="000000"/>
              </w:rPr>
            </w:pPr>
            <w:r>
              <w:rPr>
                <w:rFonts w:ascii="Arial" w:hAnsi="Arial" w:cs="Arial"/>
                <w:color w:val="000000"/>
              </w:rPr>
              <w:t>0.55651</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1977</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210.4588</w:t>
            </w:r>
          </w:p>
        </w:tc>
        <w:tc>
          <w:tcPr>
            <w:tcW w:w="1701" w:type="dxa"/>
            <w:vAlign w:val="bottom"/>
          </w:tcPr>
          <w:p w:rsidR="000C075A" w:rsidRDefault="000C075A" w:rsidP="00EF4AE9">
            <w:pPr>
              <w:rPr>
                <w:rFonts w:ascii="Arial" w:hAnsi="Arial" w:cs="Arial"/>
                <w:color w:val="000000"/>
              </w:rPr>
            </w:pPr>
            <w:r>
              <w:rPr>
                <w:rFonts w:ascii="Arial" w:hAnsi="Arial" w:cs="Arial"/>
                <w:color w:val="000000"/>
              </w:rPr>
              <w:t>0.57327</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1978</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219.2145</w:t>
            </w:r>
          </w:p>
        </w:tc>
        <w:tc>
          <w:tcPr>
            <w:tcW w:w="1701" w:type="dxa"/>
            <w:vAlign w:val="bottom"/>
          </w:tcPr>
          <w:p w:rsidR="000C075A" w:rsidRDefault="000C075A" w:rsidP="00EF4AE9">
            <w:pPr>
              <w:rPr>
                <w:rFonts w:ascii="Arial" w:hAnsi="Arial" w:cs="Arial"/>
                <w:color w:val="000000"/>
              </w:rPr>
            </w:pPr>
            <w:r>
              <w:rPr>
                <w:rFonts w:ascii="Arial" w:hAnsi="Arial" w:cs="Arial"/>
                <w:color w:val="000000"/>
              </w:rPr>
              <w:t>0.52150</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1979</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226.5769</w:t>
            </w:r>
          </w:p>
        </w:tc>
        <w:tc>
          <w:tcPr>
            <w:tcW w:w="1701" w:type="dxa"/>
            <w:vAlign w:val="bottom"/>
          </w:tcPr>
          <w:p w:rsidR="000C075A" w:rsidRDefault="000C075A" w:rsidP="00EF4AE9">
            <w:pPr>
              <w:rPr>
                <w:rFonts w:ascii="Arial" w:hAnsi="Arial" w:cs="Arial"/>
                <w:color w:val="000000"/>
              </w:rPr>
            </w:pPr>
            <w:r>
              <w:rPr>
                <w:rFonts w:ascii="Arial" w:hAnsi="Arial" w:cs="Arial"/>
                <w:color w:val="000000"/>
              </w:rPr>
              <w:t>0.47218</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1980</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220.4495</w:t>
            </w:r>
          </w:p>
        </w:tc>
        <w:tc>
          <w:tcPr>
            <w:tcW w:w="1701" w:type="dxa"/>
            <w:vAlign w:val="bottom"/>
          </w:tcPr>
          <w:p w:rsidR="000C075A" w:rsidRDefault="000C075A" w:rsidP="00EF4AE9">
            <w:pPr>
              <w:rPr>
                <w:rFonts w:ascii="Arial" w:hAnsi="Arial" w:cs="Arial"/>
                <w:color w:val="000000"/>
              </w:rPr>
            </w:pPr>
            <w:r>
              <w:rPr>
                <w:rFonts w:ascii="Arial" w:hAnsi="Arial" w:cs="Arial"/>
                <w:color w:val="000000"/>
              </w:rPr>
              <w:t>0.43029</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1981</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249.0511</w:t>
            </w:r>
          </w:p>
        </w:tc>
        <w:tc>
          <w:tcPr>
            <w:tcW w:w="1701" w:type="dxa"/>
            <w:vAlign w:val="bottom"/>
          </w:tcPr>
          <w:p w:rsidR="000C075A" w:rsidRDefault="000C075A" w:rsidP="00EF4AE9">
            <w:pPr>
              <w:rPr>
                <w:rFonts w:ascii="Arial" w:hAnsi="Arial" w:cs="Arial"/>
                <w:color w:val="000000"/>
              </w:rPr>
            </w:pPr>
            <w:r>
              <w:rPr>
                <w:rFonts w:ascii="Arial" w:hAnsi="Arial" w:cs="Arial"/>
                <w:color w:val="000000"/>
              </w:rPr>
              <w:t>0.49764</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1982</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237.4451</w:t>
            </w:r>
          </w:p>
        </w:tc>
        <w:tc>
          <w:tcPr>
            <w:tcW w:w="1701" w:type="dxa"/>
            <w:vAlign w:val="bottom"/>
          </w:tcPr>
          <w:p w:rsidR="000C075A" w:rsidRDefault="000C075A" w:rsidP="00EF4AE9">
            <w:pPr>
              <w:rPr>
                <w:rFonts w:ascii="Arial" w:hAnsi="Arial" w:cs="Arial"/>
                <w:color w:val="000000"/>
              </w:rPr>
            </w:pPr>
            <w:r>
              <w:rPr>
                <w:rFonts w:ascii="Arial" w:hAnsi="Arial" w:cs="Arial"/>
                <w:color w:val="000000"/>
              </w:rPr>
              <w:t>0.57245</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1983</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237.5867</w:t>
            </w:r>
          </w:p>
        </w:tc>
        <w:tc>
          <w:tcPr>
            <w:tcW w:w="1701" w:type="dxa"/>
            <w:vAlign w:val="bottom"/>
          </w:tcPr>
          <w:p w:rsidR="000C075A" w:rsidRDefault="000C075A" w:rsidP="00EF4AE9">
            <w:pPr>
              <w:rPr>
                <w:rFonts w:ascii="Arial" w:hAnsi="Arial" w:cs="Arial"/>
                <w:color w:val="000000"/>
              </w:rPr>
            </w:pPr>
            <w:r>
              <w:rPr>
                <w:rFonts w:ascii="Arial" w:hAnsi="Arial" w:cs="Arial"/>
                <w:color w:val="000000"/>
              </w:rPr>
              <w:t>0.65973</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1984</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238.4719</w:t>
            </w:r>
          </w:p>
        </w:tc>
        <w:tc>
          <w:tcPr>
            <w:tcW w:w="1701" w:type="dxa"/>
            <w:vAlign w:val="bottom"/>
          </w:tcPr>
          <w:p w:rsidR="000C075A" w:rsidRDefault="000C075A" w:rsidP="00EF4AE9">
            <w:pPr>
              <w:rPr>
                <w:rFonts w:ascii="Arial" w:hAnsi="Arial" w:cs="Arial"/>
                <w:color w:val="000000"/>
              </w:rPr>
            </w:pPr>
            <w:r>
              <w:rPr>
                <w:rFonts w:ascii="Arial" w:hAnsi="Arial" w:cs="Arial"/>
                <w:color w:val="000000"/>
              </w:rPr>
              <w:t>0.75181</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1985</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168.4991</w:t>
            </w:r>
          </w:p>
        </w:tc>
        <w:tc>
          <w:tcPr>
            <w:tcW w:w="1701" w:type="dxa"/>
            <w:vAlign w:val="bottom"/>
          </w:tcPr>
          <w:p w:rsidR="000C075A" w:rsidRDefault="000C075A" w:rsidP="00EF4AE9">
            <w:pPr>
              <w:rPr>
                <w:rFonts w:ascii="Arial" w:hAnsi="Arial" w:cs="Arial"/>
                <w:color w:val="000000"/>
              </w:rPr>
            </w:pPr>
            <w:r>
              <w:rPr>
                <w:rFonts w:ascii="Arial" w:hAnsi="Arial" w:cs="Arial"/>
                <w:color w:val="000000"/>
              </w:rPr>
              <w:t>0.77925</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1986</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144.6229</w:t>
            </w:r>
          </w:p>
        </w:tc>
        <w:tc>
          <w:tcPr>
            <w:tcW w:w="1701" w:type="dxa"/>
            <w:vAlign w:val="bottom"/>
          </w:tcPr>
          <w:p w:rsidR="000C075A" w:rsidRDefault="000C075A" w:rsidP="00EF4AE9">
            <w:pPr>
              <w:rPr>
                <w:rFonts w:ascii="Arial" w:hAnsi="Arial" w:cs="Arial"/>
                <w:color w:val="000000"/>
              </w:rPr>
            </w:pPr>
            <w:r>
              <w:rPr>
                <w:rFonts w:ascii="Arial" w:hAnsi="Arial" w:cs="Arial"/>
                <w:color w:val="000000"/>
              </w:rPr>
              <w:t>0.68220</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1987</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128.1426</w:t>
            </w:r>
          </w:p>
        </w:tc>
        <w:tc>
          <w:tcPr>
            <w:tcW w:w="1701" w:type="dxa"/>
            <w:vAlign w:val="bottom"/>
          </w:tcPr>
          <w:p w:rsidR="000C075A" w:rsidRDefault="000C075A" w:rsidP="00EF4AE9">
            <w:pPr>
              <w:rPr>
                <w:rFonts w:ascii="Arial" w:hAnsi="Arial" w:cs="Arial"/>
                <w:color w:val="000000"/>
              </w:rPr>
            </w:pPr>
            <w:r>
              <w:rPr>
                <w:rFonts w:ascii="Arial" w:hAnsi="Arial" w:cs="Arial"/>
                <w:color w:val="000000"/>
              </w:rPr>
              <w:t>0.61193</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1988</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137.9947</w:t>
            </w:r>
          </w:p>
        </w:tc>
        <w:tc>
          <w:tcPr>
            <w:tcW w:w="1701" w:type="dxa"/>
            <w:vAlign w:val="bottom"/>
          </w:tcPr>
          <w:p w:rsidR="000C075A" w:rsidRDefault="000C075A" w:rsidP="00EF4AE9">
            <w:pPr>
              <w:rPr>
                <w:rFonts w:ascii="Arial" w:hAnsi="Arial" w:cs="Arial"/>
                <w:color w:val="000000"/>
              </w:rPr>
            </w:pPr>
            <w:r>
              <w:rPr>
                <w:rFonts w:ascii="Arial" w:hAnsi="Arial" w:cs="Arial"/>
                <w:color w:val="000000"/>
              </w:rPr>
              <w:t>0.56217</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1989</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144.8182</w:t>
            </w:r>
          </w:p>
        </w:tc>
        <w:tc>
          <w:tcPr>
            <w:tcW w:w="1701" w:type="dxa"/>
            <w:vAlign w:val="bottom"/>
          </w:tcPr>
          <w:p w:rsidR="000C075A" w:rsidRDefault="000C075A" w:rsidP="00EF4AE9">
            <w:pPr>
              <w:rPr>
                <w:rFonts w:ascii="Arial" w:hAnsi="Arial" w:cs="Arial"/>
                <w:color w:val="000000"/>
              </w:rPr>
            </w:pPr>
            <w:r>
              <w:rPr>
                <w:rFonts w:ascii="Arial" w:hAnsi="Arial" w:cs="Arial"/>
                <w:color w:val="000000"/>
              </w:rPr>
              <w:t>0.61117</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1990</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134.5077</w:t>
            </w:r>
          </w:p>
        </w:tc>
        <w:tc>
          <w:tcPr>
            <w:tcW w:w="1701" w:type="dxa"/>
            <w:vAlign w:val="bottom"/>
          </w:tcPr>
          <w:p w:rsidR="000C075A" w:rsidRDefault="000C075A" w:rsidP="00EF4AE9">
            <w:pPr>
              <w:rPr>
                <w:rFonts w:ascii="Arial" w:hAnsi="Arial" w:cs="Arial"/>
                <w:color w:val="000000"/>
              </w:rPr>
            </w:pPr>
            <w:r>
              <w:rPr>
                <w:rFonts w:ascii="Arial" w:hAnsi="Arial" w:cs="Arial"/>
                <w:color w:val="000000"/>
              </w:rPr>
              <w:t>0.56318</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1991</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126.747</w:t>
            </w:r>
          </w:p>
        </w:tc>
        <w:tc>
          <w:tcPr>
            <w:tcW w:w="1701" w:type="dxa"/>
            <w:vAlign w:val="bottom"/>
          </w:tcPr>
          <w:p w:rsidR="000C075A" w:rsidRDefault="000C075A" w:rsidP="00EF4AE9">
            <w:pPr>
              <w:rPr>
                <w:rFonts w:ascii="Arial" w:hAnsi="Arial" w:cs="Arial"/>
                <w:color w:val="000000"/>
              </w:rPr>
            </w:pPr>
            <w:r>
              <w:rPr>
                <w:rFonts w:ascii="Arial" w:hAnsi="Arial" w:cs="Arial"/>
                <w:color w:val="000000"/>
              </w:rPr>
              <w:t>0.56702</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1992</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111.2314</w:t>
            </w:r>
          </w:p>
        </w:tc>
        <w:tc>
          <w:tcPr>
            <w:tcW w:w="1701" w:type="dxa"/>
            <w:vAlign w:val="bottom"/>
          </w:tcPr>
          <w:p w:rsidR="000C075A" w:rsidRDefault="000C075A" w:rsidP="00EF4AE9">
            <w:pPr>
              <w:rPr>
                <w:rFonts w:ascii="Arial" w:hAnsi="Arial" w:cs="Arial"/>
                <w:color w:val="000000"/>
              </w:rPr>
            </w:pPr>
            <w:r>
              <w:rPr>
                <w:rFonts w:ascii="Arial" w:hAnsi="Arial" w:cs="Arial"/>
                <w:color w:val="000000"/>
              </w:rPr>
              <w:t>0.56977</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1993</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102.1953</w:t>
            </w:r>
          </w:p>
        </w:tc>
        <w:tc>
          <w:tcPr>
            <w:tcW w:w="1701" w:type="dxa"/>
            <w:vAlign w:val="bottom"/>
          </w:tcPr>
          <w:p w:rsidR="000C075A" w:rsidRDefault="000C075A" w:rsidP="00EF4AE9">
            <w:pPr>
              <w:rPr>
                <w:rFonts w:ascii="Arial" w:hAnsi="Arial" w:cs="Arial"/>
                <w:color w:val="000000"/>
              </w:rPr>
            </w:pPr>
            <w:r>
              <w:rPr>
                <w:rFonts w:ascii="Arial" w:hAnsi="Arial" w:cs="Arial"/>
                <w:color w:val="000000"/>
              </w:rPr>
              <w:t>0.66676</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1994</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94.10578</w:t>
            </w:r>
          </w:p>
        </w:tc>
        <w:tc>
          <w:tcPr>
            <w:tcW w:w="1701" w:type="dxa"/>
            <w:vAlign w:val="bottom"/>
          </w:tcPr>
          <w:p w:rsidR="000C075A" w:rsidRDefault="000C075A" w:rsidP="00EF4AE9">
            <w:pPr>
              <w:rPr>
                <w:rFonts w:ascii="Arial" w:hAnsi="Arial" w:cs="Arial"/>
                <w:color w:val="000000"/>
              </w:rPr>
            </w:pPr>
            <w:r>
              <w:rPr>
                <w:rFonts w:ascii="Arial" w:hAnsi="Arial" w:cs="Arial"/>
                <w:color w:val="000000"/>
              </w:rPr>
              <w:t>0.65343</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1995</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108.8048</w:t>
            </w:r>
          </w:p>
        </w:tc>
        <w:tc>
          <w:tcPr>
            <w:tcW w:w="1701" w:type="dxa"/>
            <w:vAlign w:val="bottom"/>
          </w:tcPr>
          <w:p w:rsidR="000C075A" w:rsidRDefault="000C075A" w:rsidP="00EF4AE9">
            <w:pPr>
              <w:rPr>
                <w:rFonts w:ascii="Arial" w:hAnsi="Arial" w:cs="Arial"/>
                <w:color w:val="000000"/>
              </w:rPr>
            </w:pPr>
            <w:r>
              <w:rPr>
                <w:rFonts w:ascii="Arial" w:hAnsi="Arial" w:cs="Arial"/>
                <w:color w:val="000000"/>
              </w:rPr>
              <w:t xml:space="preserve">.63367 </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1996</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121.0947</w:t>
            </w:r>
          </w:p>
        </w:tc>
        <w:tc>
          <w:tcPr>
            <w:tcW w:w="1701" w:type="dxa"/>
            <w:vAlign w:val="bottom"/>
          </w:tcPr>
          <w:p w:rsidR="000C075A" w:rsidRDefault="000C075A" w:rsidP="00EF4AE9">
            <w:pPr>
              <w:rPr>
                <w:rFonts w:ascii="Arial" w:hAnsi="Arial" w:cs="Arial"/>
                <w:color w:val="000000"/>
              </w:rPr>
            </w:pPr>
            <w:r>
              <w:rPr>
                <w:rFonts w:ascii="Arial" w:hAnsi="Arial" w:cs="Arial"/>
                <w:color w:val="000000"/>
              </w:rPr>
              <w:t>0.64096</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1997</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130.8182</w:t>
            </w:r>
          </w:p>
        </w:tc>
        <w:tc>
          <w:tcPr>
            <w:tcW w:w="1701" w:type="dxa"/>
            <w:vAlign w:val="bottom"/>
          </w:tcPr>
          <w:p w:rsidR="000C075A" w:rsidRDefault="000C075A" w:rsidP="00EF4AE9">
            <w:pPr>
              <w:rPr>
                <w:rFonts w:ascii="Arial" w:hAnsi="Arial" w:cs="Arial"/>
                <w:color w:val="000000"/>
              </w:rPr>
            </w:pPr>
            <w:r>
              <w:rPr>
                <w:rFonts w:ascii="Arial" w:hAnsi="Arial" w:cs="Arial"/>
                <w:color w:val="000000"/>
              </w:rPr>
              <w:t>0.61084</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1998</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113.7132</w:t>
            </w:r>
          </w:p>
        </w:tc>
        <w:tc>
          <w:tcPr>
            <w:tcW w:w="1701" w:type="dxa"/>
            <w:vAlign w:val="bottom"/>
          </w:tcPr>
          <w:p w:rsidR="000C075A" w:rsidRDefault="000C075A" w:rsidP="00EF4AE9">
            <w:pPr>
              <w:rPr>
                <w:rFonts w:ascii="Arial" w:hAnsi="Arial" w:cs="Arial"/>
                <w:color w:val="000000"/>
              </w:rPr>
            </w:pPr>
            <w:r>
              <w:rPr>
                <w:rFonts w:ascii="Arial" w:hAnsi="Arial" w:cs="Arial"/>
                <w:color w:val="000000"/>
              </w:rPr>
              <w:t>0.60382</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1999</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107.8213</w:t>
            </w:r>
          </w:p>
        </w:tc>
        <w:tc>
          <w:tcPr>
            <w:tcW w:w="1701" w:type="dxa"/>
            <w:vAlign w:val="bottom"/>
          </w:tcPr>
          <w:p w:rsidR="000C075A" w:rsidRDefault="000C075A" w:rsidP="00EF4AE9">
            <w:pPr>
              <w:rPr>
                <w:rFonts w:ascii="Arial" w:hAnsi="Arial" w:cs="Arial"/>
                <w:color w:val="000000"/>
              </w:rPr>
            </w:pPr>
            <w:r>
              <w:rPr>
                <w:rFonts w:ascii="Arial" w:hAnsi="Arial" w:cs="Arial"/>
                <w:color w:val="000000"/>
              </w:rPr>
              <w:t xml:space="preserve"> 0.618</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2000</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121.5193</w:t>
            </w:r>
          </w:p>
        </w:tc>
        <w:tc>
          <w:tcPr>
            <w:tcW w:w="1701" w:type="dxa"/>
            <w:vAlign w:val="bottom"/>
          </w:tcPr>
          <w:p w:rsidR="000C075A" w:rsidRDefault="000C075A" w:rsidP="00EF4AE9">
            <w:pPr>
              <w:rPr>
                <w:rFonts w:ascii="Arial" w:hAnsi="Arial" w:cs="Arial"/>
                <w:color w:val="000000"/>
              </w:rPr>
            </w:pPr>
            <w:r>
              <w:rPr>
                <w:rFonts w:ascii="Arial" w:hAnsi="Arial" w:cs="Arial"/>
                <w:color w:val="000000"/>
              </w:rPr>
              <w:t xml:space="preserve"> 0.660</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2001</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125.2669</w:t>
            </w:r>
          </w:p>
        </w:tc>
        <w:tc>
          <w:tcPr>
            <w:tcW w:w="1701" w:type="dxa"/>
            <w:vAlign w:val="bottom"/>
          </w:tcPr>
          <w:p w:rsidR="000C075A" w:rsidRDefault="000C075A" w:rsidP="00EF4AE9">
            <w:pPr>
              <w:rPr>
                <w:rFonts w:ascii="Arial" w:hAnsi="Arial" w:cs="Arial"/>
                <w:color w:val="000000"/>
              </w:rPr>
            </w:pPr>
            <w:r>
              <w:rPr>
                <w:rFonts w:ascii="Arial" w:hAnsi="Arial" w:cs="Arial"/>
                <w:color w:val="000000"/>
              </w:rPr>
              <w:t xml:space="preserve"> 0.694</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2002</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115.9166</w:t>
            </w:r>
          </w:p>
        </w:tc>
        <w:tc>
          <w:tcPr>
            <w:tcW w:w="1701" w:type="dxa"/>
            <w:vAlign w:val="bottom"/>
          </w:tcPr>
          <w:p w:rsidR="000C075A" w:rsidRDefault="000C075A" w:rsidP="00EF4AE9">
            <w:pPr>
              <w:rPr>
                <w:rFonts w:ascii="Arial" w:hAnsi="Arial" w:cs="Arial"/>
                <w:color w:val="000000"/>
              </w:rPr>
            </w:pPr>
            <w:r>
              <w:rPr>
                <w:rFonts w:ascii="Arial" w:hAnsi="Arial" w:cs="Arial"/>
                <w:color w:val="000000"/>
              </w:rPr>
              <w:t xml:space="preserve"> 0.667</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2003</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108.1569</w:t>
            </w:r>
          </w:p>
        </w:tc>
        <w:tc>
          <w:tcPr>
            <w:tcW w:w="1701" w:type="dxa"/>
            <w:vAlign w:val="bottom"/>
          </w:tcPr>
          <w:p w:rsidR="000C075A" w:rsidRDefault="000C075A" w:rsidP="00EF4AE9">
            <w:pPr>
              <w:rPr>
                <w:rFonts w:ascii="Arial" w:hAnsi="Arial" w:cs="Arial"/>
                <w:color w:val="000000"/>
              </w:rPr>
            </w:pPr>
            <w:r>
              <w:rPr>
                <w:rFonts w:ascii="Arial" w:hAnsi="Arial" w:cs="Arial"/>
                <w:color w:val="000000"/>
              </w:rPr>
              <w:t xml:space="preserve"> 0.612</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2004</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110.1384</w:t>
            </w:r>
          </w:p>
        </w:tc>
        <w:tc>
          <w:tcPr>
            <w:tcW w:w="1701" w:type="dxa"/>
            <w:vAlign w:val="bottom"/>
          </w:tcPr>
          <w:p w:rsidR="000C075A" w:rsidRDefault="000C075A" w:rsidP="00EF4AE9">
            <w:pPr>
              <w:rPr>
                <w:rFonts w:ascii="Arial" w:hAnsi="Arial" w:cs="Arial"/>
                <w:color w:val="000000"/>
              </w:rPr>
            </w:pPr>
            <w:r>
              <w:rPr>
                <w:rFonts w:ascii="Arial" w:hAnsi="Arial" w:cs="Arial"/>
                <w:color w:val="000000"/>
              </w:rPr>
              <w:t xml:space="preserve"> 0.546</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2005</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116.3498</w:t>
            </w:r>
          </w:p>
        </w:tc>
        <w:tc>
          <w:tcPr>
            <w:tcW w:w="1701" w:type="dxa"/>
            <w:vAlign w:val="bottom"/>
          </w:tcPr>
          <w:p w:rsidR="000C075A" w:rsidRDefault="000C075A" w:rsidP="00EF4AE9">
            <w:pPr>
              <w:rPr>
                <w:rFonts w:ascii="Arial" w:hAnsi="Arial" w:cs="Arial"/>
                <w:color w:val="000000"/>
              </w:rPr>
            </w:pPr>
            <w:r>
              <w:rPr>
                <w:rFonts w:ascii="Arial" w:hAnsi="Arial" w:cs="Arial"/>
                <w:color w:val="000000"/>
              </w:rPr>
              <w:t xml:space="preserve"> 0.550</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2006</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117.7655</w:t>
            </w:r>
          </w:p>
        </w:tc>
        <w:tc>
          <w:tcPr>
            <w:tcW w:w="1701" w:type="dxa"/>
            <w:vAlign w:val="bottom"/>
          </w:tcPr>
          <w:p w:rsidR="000C075A" w:rsidRDefault="000C075A" w:rsidP="00EF4AE9">
            <w:pPr>
              <w:rPr>
                <w:rFonts w:ascii="Arial" w:hAnsi="Arial" w:cs="Arial"/>
                <w:color w:val="000000"/>
              </w:rPr>
            </w:pPr>
            <w:r>
              <w:rPr>
                <w:rFonts w:ascii="Arial" w:hAnsi="Arial" w:cs="Arial"/>
                <w:color w:val="000000"/>
              </w:rPr>
              <w:t xml:space="preserve"> 0.543</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2007</w:t>
            </w:r>
          </w:p>
        </w:tc>
      </w:tr>
      <w:tr w:rsidR="000C075A" w:rsidRPr="009B7B8B" w:rsidTr="00EF4AE9">
        <w:tc>
          <w:tcPr>
            <w:tcW w:w="2177" w:type="dxa"/>
            <w:vAlign w:val="bottom"/>
          </w:tcPr>
          <w:p w:rsidR="000C075A" w:rsidRDefault="000C075A" w:rsidP="00EF4AE9">
            <w:pPr>
              <w:rPr>
                <w:rFonts w:ascii="Arial" w:hAnsi="Arial" w:cs="Arial"/>
                <w:color w:val="000000"/>
              </w:rPr>
            </w:pPr>
            <w:r>
              <w:rPr>
                <w:rFonts w:ascii="Arial" w:hAnsi="Arial" w:cs="Arial"/>
                <w:color w:val="000000"/>
              </w:rPr>
              <w:t>103.3794</w:t>
            </w:r>
          </w:p>
        </w:tc>
        <w:tc>
          <w:tcPr>
            <w:tcW w:w="1701" w:type="dxa"/>
            <w:vAlign w:val="bottom"/>
          </w:tcPr>
          <w:p w:rsidR="000C075A" w:rsidRDefault="000C075A" w:rsidP="00EF4AE9">
            <w:pPr>
              <w:rPr>
                <w:rFonts w:ascii="Arial" w:hAnsi="Arial" w:cs="Arial"/>
                <w:color w:val="000000"/>
              </w:rPr>
            </w:pPr>
            <w:r>
              <w:rPr>
                <w:rFonts w:ascii="Arial" w:hAnsi="Arial" w:cs="Arial"/>
                <w:color w:val="000000"/>
              </w:rPr>
              <w:t xml:space="preserve"> 0.499</w:t>
            </w:r>
          </w:p>
        </w:tc>
        <w:tc>
          <w:tcPr>
            <w:tcW w:w="1242" w:type="dxa"/>
            <w:vAlign w:val="bottom"/>
          </w:tcPr>
          <w:p w:rsidR="000C075A" w:rsidRPr="009B7B8B" w:rsidRDefault="000C075A" w:rsidP="00EF4AE9">
            <w:pPr>
              <w:jc w:val="both"/>
              <w:rPr>
                <w:rFonts w:asciiTheme="majorBidi" w:hAnsiTheme="majorBidi" w:cstheme="majorBidi"/>
                <w:color w:val="000000"/>
                <w:sz w:val="24"/>
                <w:szCs w:val="24"/>
              </w:rPr>
            </w:pPr>
            <w:r w:rsidRPr="009B7B8B">
              <w:rPr>
                <w:rFonts w:asciiTheme="majorBidi" w:hAnsiTheme="majorBidi" w:cstheme="majorBidi"/>
                <w:color w:val="000000"/>
                <w:sz w:val="24"/>
                <w:szCs w:val="24"/>
              </w:rPr>
              <w:t>2008</w:t>
            </w:r>
          </w:p>
        </w:tc>
      </w:tr>
    </w:tbl>
    <w:p w:rsidR="000C075A" w:rsidRDefault="000C075A" w:rsidP="000C075A">
      <w:pPr>
        <w:jc w:val="right"/>
        <w:rPr>
          <w:rFonts w:asciiTheme="majorBidi" w:hAnsiTheme="majorBidi" w:cstheme="majorBidi"/>
          <w:b/>
          <w:bCs/>
          <w:lang w:bidi="ar-EG"/>
        </w:rPr>
      </w:pPr>
    </w:p>
    <w:p w:rsidR="000C075A" w:rsidRDefault="000C075A" w:rsidP="000C075A">
      <w:pPr>
        <w:jc w:val="right"/>
        <w:rPr>
          <w:rFonts w:asciiTheme="majorBidi" w:hAnsiTheme="majorBidi" w:cstheme="majorBidi"/>
          <w:b/>
          <w:bCs/>
          <w:lang w:bidi="ar-EG"/>
        </w:rPr>
      </w:pPr>
    </w:p>
    <w:p w:rsidR="000C075A" w:rsidRDefault="000C075A" w:rsidP="000C075A">
      <w:pPr>
        <w:jc w:val="right"/>
        <w:rPr>
          <w:rFonts w:asciiTheme="majorBidi" w:hAnsiTheme="majorBidi" w:cstheme="majorBidi"/>
          <w:b/>
          <w:bCs/>
          <w:lang w:bidi="ar-EG"/>
        </w:rPr>
      </w:pPr>
    </w:p>
    <w:p w:rsidR="000C075A" w:rsidRDefault="008B75A1" w:rsidP="008B75A1">
      <w:pPr>
        <w:rPr>
          <w:rFonts w:asciiTheme="majorBidi" w:hAnsiTheme="majorBidi" w:cstheme="majorBidi"/>
          <w:b/>
          <w:bCs/>
          <w:lang w:bidi="ar-EG"/>
        </w:rPr>
      </w:pPr>
      <w:r>
        <w:t>Source: www.</w:t>
      </w:r>
      <w:r w:rsidRPr="0005027B">
        <w:t>fx.sauder.ubc.ca</w:t>
      </w:r>
      <w:r>
        <w:t xml:space="preserve"> .</w:t>
      </w:r>
    </w:p>
    <w:p w:rsidR="000C075A" w:rsidRDefault="000C075A" w:rsidP="000C075A">
      <w:pPr>
        <w:rPr>
          <w:rFonts w:asciiTheme="majorBidi" w:hAnsiTheme="majorBidi" w:cstheme="majorBidi"/>
          <w:b/>
          <w:bCs/>
          <w:lang w:bidi="ar-EG"/>
        </w:rPr>
      </w:pPr>
    </w:p>
    <w:p w:rsidR="000C075A" w:rsidRDefault="000C075A" w:rsidP="000C075A">
      <w:pPr>
        <w:rPr>
          <w:rFonts w:asciiTheme="majorBidi" w:hAnsiTheme="majorBidi" w:cstheme="majorBidi"/>
          <w:b/>
          <w:bCs/>
          <w:lang w:bidi="ar-EG"/>
        </w:rPr>
      </w:pPr>
    </w:p>
    <w:p w:rsidR="000C075A" w:rsidRDefault="000C075A" w:rsidP="000C075A">
      <w:pPr>
        <w:rPr>
          <w:rFonts w:asciiTheme="majorBidi" w:hAnsiTheme="majorBidi" w:cstheme="majorBidi"/>
          <w:b/>
          <w:bCs/>
          <w:lang w:bidi="ar-EG"/>
        </w:rPr>
      </w:pPr>
      <w:r w:rsidRPr="00006D66">
        <w:rPr>
          <w:rFonts w:asciiTheme="majorBidi" w:hAnsiTheme="majorBidi" w:cstheme="majorBidi"/>
          <w:b/>
          <w:bCs/>
          <w:lang w:bidi="ar-EG"/>
        </w:rPr>
        <w:t>Table (</w:t>
      </w:r>
      <w:r>
        <w:rPr>
          <w:rFonts w:asciiTheme="majorBidi" w:hAnsiTheme="majorBidi" w:cstheme="majorBidi"/>
          <w:b/>
          <w:bCs/>
          <w:lang w:bidi="ar-EG"/>
        </w:rPr>
        <w:t>7</w:t>
      </w:r>
      <w:r w:rsidRPr="00006D66">
        <w:rPr>
          <w:rFonts w:asciiTheme="majorBidi" w:hAnsiTheme="majorBidi" w:cstheme="majorBidi"/>
          <w:b/>
          <w:bCs/>
          <w:lang w:bidi="ar-EG"/>
        </w:rPr>
        <w:t>)</w:t>
      </w:r>
      <w:r>
        <w:rPr>
          <w:rFonts w:asciiTheme="majorBidi" w:hAnsiTheme="majorBidi" w:cstheme="majorBidi"/>
          <w:b/>
          <w:bCs/>
          <w:lang w:bidi="ar-EG"/>
        </w:rPr>
        <w:t xml:space="preserve"> the standard deviation of CPI</w:t>
      </w:r>
      <w:r w:rsidRPr="00006D66">
        <w:rPr>
          <w:rFonts w:asciiTheme="majorBidi" w:hAnsiTheme="majorBidi" w:cstheme="majorBidi"/>
          <w:b/>
          <w:bCs/>
          <w:lang w:bidi="ar-EG"/>
        </w:rPr>
        <w:t>:</w:t>
      </w:r>
    </w:p>
    <w:p w:rsidR="000C075A" w:rsidRDefault="000C075A" w:rsidP="000C075A">
      <w:pPr>
        <w:jc w:val="right"/>
        <w:rPr>
          <w:rFonts w:asciiTheme="majorBidi" w:hAnsiTheme="majorBidi" w:cstheme="majorBidi"/>
          <w:b/>
          <w:bCs/>
          <w:lang w:bidi="ar-EG"/>
        </w:rPr>
      </w:pPr>
    </w:p>
    <w:tbl>
      <w:tblPr>
        <w:tblStyle w:val="TableGrid"/>
        <w:bidiVisual/>
        <w:tblW w:w="0" w:type="auto"/>
        <w:tblInd w:w="4451" w:type="dxa"/>
        <w:tblLook w:val="04A0"/>
      </w:tblPr>
      <w:tblGrid>
        <w:gridCol w:w="2975"/>
        <w:gridCol w:w="1096"/>
      </w:tblGrid>
      <w:tr w:rsidR="000C075A" w:rsidTr="002E760E">
        <w:tc>
          <w:tcPr>
            <w:tcW w:w="2975" w:type="dxa"/>
          </w:tcPr>
          <w:p w:rsidR="000C075A" w:rsidRDefault="000C075A" w:rsidP="000C075A">
            <w:pPr>
              <w:rPr>
                <w:rFonts w:asciiTheme="majorBidi" w:hAnsiTheme="majorBidi" w:cstheme="majorBidi"/>
                <w:b/>
                <w:bCs/>
                <w:sz w:val="24"/>
                <w:szCs w:val="24"/>
                <w:lang w:bidi="ar-EG"/>
              </w:rPr>
            </w:pPr>
            <w:r>
              <w:rPr>
                <w:rFonts w:asciiTheme="majorBidi" w:hAnsiTheme="majorBidi" w:cstheme="majorBidi"/>
                <w:b/>
                <w:bCs/>
                <w:sz w:val="24"/>
                <w:szCs w:val="24"/>
                <w:lang w:bidi="ar-EG"/>
              </w:rPr>
              <w:t>Standard deviation of CPI</w:t>
            </w:r>
          </w:p>
        </w:tc>
        <w:tc>
          <w:tcPr>
            <w:tcW w:w="1096" w:type="dxa"/>
          </w:tcPr>
          <w:p w:rsidR="000C075A" w:rsidRDefault="000C075A" w:rsidP="000C075A">
            <w:pPr>
              <w:rPr>
                <w:rFonts w:asciiTheme="majorBidi" w:hAnsiTheme="majorBidi" w:cstheme="majorBidi"/>
                <w:b/>
                <w:bCs/>
                <w:sz w:val="24"/>
                <w:szCs w:val="24"/>
                <w:lang w:bidi="ar-EG"/>
              </w:rPr>
            </w:pPr>
            <w:r>
              <w:rPr>
                <w:rFonts w:asciiTheme="majorBidi" w:hAnsiTheme="majorBidi" w:cstheme="majorBidi"/>
                <w:b/>
                <w:bCs/>
                <w:sz w:val="24"/>
                <w:szCs w:val="24"/>
                <w:lang w:bidi="ar-EG"/>
              </w:rPr>
              <w:t>County</w:t>
            </w:r>
          </w:p>
        </w:tc>
      </w:tr>
      <w:tr w:rsidR="000C075A" w:rsidTr="002E760E">
        <w:tc>
          <w:tcPr>
            <w:tcW w:w="2975" w:type="dxa"/>
          </w:tcPr>
          <w:p w:rsidR="000C075A" w:rsidRPr="00A91404" w:rsidRDefault="000C075A" w:rsidP="000C075A">
            <w:pPr>
              <w:rPr>
                <w:rFonts w:asciiTheme="majorBidi" w:hAnsiTheme="majorBidi" w:cstheme="majorBidi"/>
                <w:sz w:val="24"/>
                <w:szCs w:val="24"/>
                <w:lang w:bidi="ar-EG"/>
              </w:rPr>
            </w:pPr>
            <w:r w:rsidRPr="00A91404">
              <w:rPr>
                <w:rFonts w:asciiTheme="majorBidi" w:hAnsiTheme="majorBidi" w:cstheme="majorBidi"/>
                <w:sz w:val="24"/>
                <w:szCs w:val="24"/>
                <w:lang w:bidi="ar-EG"/>
              </w:rPr>
              <w:t>53.46</w:t>
            </w:r>
          </w:p>
        </w:tc>
        <w:tc>
          <w:tcPr>
            <w:tcW w:w="1096" w:type="dxa"/>
          </w:tcPr>
          <w:p w:rsidR="000C075A" w:rsidRPr="00A91404" w:rsidRDefault="000C075A" w:rsidP="000C075A">
            <w:pPr>
              <w:rPr>
                <w:rFonts w:asciiTheme="majorBidi" w:hAnsiTheme="majorBidi" w:cstheme="majorBidi"/>
                <w:sz w:val="24"/>
                <w:szCs w:val="24"/>
                <w:lang w:bidi="ar-EG"/>
              </w:rPr>
            </w:pPr>
            <w:r w:rsidRPr="00A91404">
              <w:rPr>
                <w:rFonts w:asciiTheme="majorBidi" w:hAnsiTheme="majorBidi" w:cstheme="majorBidi"/>
                <w:sz w:val="24"/>
                <w:szCs w:val="24"/>
                <w:lang w:bidi="ar-EG"/>
              </w:rPr>
              <w:t>USA</w:t>
            </w:r>
          </w:p>
        </w:tc>
      </w:tr>
      <w:tr w:rsidR="000C075A" w:rsidTr="002E760E">
        <w:tc>
          <w:tcPr>
            <w:tcW w:w="2975" w:type="dxa"/>
          </w:tcPr>
          <w:p w:rsidR="000C075A" w:rsidRPr="00A91404" w:rsidRDefault="000C075A" w:rsidP="000C075A">
            <w:pPr>
              <w:rPr>
                <w:rFonts w:asciiTheme="majorBidi" w:hAnsiTheme="majorBidi" w:cstheme="majorBidi"/>
                <w:sz w:val="24"/>
                <w:szCs w:val="24"/>
                <w:lang w:bidi="ar-EG"/>
              </w:rPr>
            </w:pPr>
            <w:r w:rsidRPr="00A91404">
              <w:rPr>
                <w:rFonts w:asciiTheme="majorBidi" w:hAnsiTheme="majorBidi" w:cstheme="majorBidi"/>
                <w:sz w:val="24"/>
                <w:szCs w:val="24"/>
                <w:lang w:bidi="ar-EG"/>
              </w:rPr>
              <w:t>231.2</w:t>
            </w:r>
          </w:p>
        </w:tc>
        <w:tc>
          <w:tcPr>
            <w:tcW w:w="1096" w:type="dxa"/>
          </w:tcPr>
          <w:p w:rsidR="000C075A" w:rsidRPr="00A91404" w:rsidRDefault="000C075A" w:rsidP="000C075A">
            <w:pPr>
              <w:rPr>
                <w:rFonts w:asciiTheme="majorBidi" w:hAnsiTheme="majorBidi" w:cstheme="majorBidi"/>
                <w:sz w:val="24"/>
                <w:szCs w:val="24"/>
                <w:lang w:bidi="ar-EG"/>
              </w:rPr>
            </w:pPr>
            <w:r w:rsidRPr="00A91404">
              <w:rPr>
                <w:rFonts w:asciiTheme="majorBidi" w:hAnsiTheme="majorBidi" w:cstheme="majorBidi"/>
                <w:sz w:val="24"/>
                <w:szCs w:val="24"/>
                <w:lang w:bidi="ar-EG"/>
              </w:rPr>
              <w:t>UK</w:t>
            </w:r>
          </w:p>
        </w:tc>
      </w:tr>
      <w:tr w:rsidR="000C075A" w:rsidTr="002E760E">
        <w:tc>
          <w:tcPr>
            <w:tcW w:w="2975" w:type="dxa"/>
          </w:tcPr>
          <w:p w:rsidR="000C075A" w:rsidRPr="00A91404" w:rsidRDefault="000C075A" w:rsidP="000C075A">
            <w:pPr>
              <w:rPr>
                <w:rFonts w:asciiTheme="majorBidi" w:hAnsiTheme="majorBidi" w:cstheme="majorBidi"/>
                <w:sz w:val="24"/>
                <w:szCs w:val="24"/>
                <w:lang w:bidi="ar-EG"/>
              </w:rPr>
            </w:pPr>
            <w:r w:rsidRPr="00A91404">
              <w:rPr>
                <w:rFonts w:asciiTheme="majorBidi" w:hAnsiTheme="majorBidi" w:cstheme="majorBidi"/>
                <w:sz w:val="24"/>
                <w:szCs w:val="24"/>
                <w:lang w:bidi="ar-EG"/>
              </w:rPr>
              <w:t>21.15</w:t>
            </w:r>
          </w:p>
        </w:tc>
        <w:tc>
          <w:tcPr>
            <w:tcW w:w="1096" w:type="dxa"/>
          </w:tcPr>
          <w:p w:rsidR="000C075A" w:rsidRPr="00A91404" w:rsidRDefault="000C075A" w:rsidP="000C075A">
            <w:pPr>
              <w:rPr>
                <w:rFonts w:asciiTheme="majorBidi" w:hAnsiTheme="majorBidi" w:cstheme="majorBidi"/>
                <w:sz w:val="24"/>
                <w:szCs w:val="24"/>
                <w:lang w:bidi="ar-EG"/>
              </w:rPr>
            </w:pPr>
            <w:r w:rsidRPr="00A91404">
              <w:rPr>
                <w:rFonts w:asciiTheme="majorBidi" w:hAnsiTheme="majorBidi" w:cstheme="majorBidi"/>
                <w:sz w:val="24"/>
                <w:szCs w:val="24"/>
                <w:lang w:bidi="ar-EG"/>
              </w:rPr>
              <w:t>Japan</w:t>
            </w:r>
          </w:p>
        </w:tc>
      </w:tr>
      <w:tr w:rsidR="000C075A" w:rsidTr="002E760E">
        <w:tc>
          <w:tcPr>
            <w:tcW w:w="2975" w:type="dxa"/>
          </w:tcPr>
          <w:p w:rsidR="000C075A" w:rsidRPr="00A91404" w:rsidRDefault="000C075A" w:rsidP="000C075A">
            <w:pPr>
              <w:rPr>
                <w:rFonts w:asciiTheme="majorBidi" w:hAnsiTheme="majorBidi" w:cstheme="majorBidi"/>
                <w:sz w:val="24"/>
                <w:szCs w:val="24"/>
                <w:lang w:bidi="ar-EG"/>
              </w:rPr>
            </w:pPr>
            <w:r>
              <w:rPr>
                <w:rFonts w:asciiTheme="majorBidi" w:hAnsiTheme="majorBidi" w:cstheme="majorBidi"/>
                <w:sz w:val="24"/>
                <w:szCs w:val="24"/>
                <w:lang w:bidi="ar-EG"/>
              </w:rPr>
              <w:t>46.13</w:t>
            </w:r>
          </w:p>
        </w:tc>
        <w:tc>
          <w:tcPr>
            <w:tcW w:w="1096" w:type="dxa"/>
          </w:tcPr>
          <w:p w:rsidR="000C075A" w:rsidRPr="00A91404" w:rsidRDefault="000C075A" w:rsidP="000C075A">
            <w:pPr>
              <w:rPr>
                <w:rFonts w:asciiTheme="majorBidi" w:hAnsiTheme="majorBidi" w:cstheme="majorBidi"/>
                <w:sz w:val="24"/>
                <w:szCs w:val="24"/>
                <w:lang w:bidi="ar-EG"/>
              </w:rPr>
            </w:pPr>
            <w:r w:rsidRPr="00A91404">
              <w:rPr>
                <w:rFonts w:asciiTheme="majorBidi" w:hAnsiTheme="majorBidi" w:cstheme="majorBidi"/>
                <w:sz w:val="24"/>
                <w:szCs w:val="24"/>
                <w:lang w:bidi="ar-EG"/>
              </w:rPr>
              <w:t>Australia</w:t>
            </w:r>
          </w:p>
        </w:tc>
      </w:tr>
    </w:tbl>
    <w:p w:rsidR="000C075A" w:rsidRDefault="000C075A" w:rsidP="00D31224">
      <w:pPr>
        <w:rPr>
          <w:rFonts w:asciiTheme="majorBidi" w:hAnsiTheme="majorBidi" w:cstheme="majorBidi"/>
          <w:b/>
          <w:bCs/>
          <w:lang w:bidi="ar-EG"/>
        </w:rPr>
      </w:pPr>
    </w:p>
    <w:p w:rsidR="00D31224" w:rsidRDefault="00D31224" w:rsidP="00222B44">
      <w:pPr>
        <w:rPr>
          <w:rFonts w:asciiTheme="majorBidi" w:hAnsiTheme="majorBidi" w:cstheme="majorBidi"/>
          <w:b/>
          <w:bCs/>
          <w:lang w:bidi="ar-EG"/>
        </w:rPr>
      </w:pPr>
    </w:p>
    <w:p w:rsidR="00D31224" w:rsidRPr="00222B44" w:rsidRDefault="00D31224" w:rsidP="00D31224">
      <w:pPr>
        <w:rPr>
          <w:rFonts w:asciiTheme="majorBidi" w:hAnsiTheme="majorBidi" w:cstheme="majorBidi"/>
          <w:vertAlign w:val="superscript"/>
          <w:lang w:bidi="ar-EG"/>
        </w:rPr>
      </w:pPr>
      <w:r w:rsidRPr="00222B44">
        <w:rPr>
          <w:rFonts w:asciiTheme="majorBidi" w:hAnsiTheme="majorBidi" w:cstheme="majorBidi"/>
          <w:lang w:bidi="ar-EG"/>
        </w:rPr>
        <w:t>Note: the standard deviation is calculated by using this formula:</w:t>
      </w:r>
    </w:p>
    <w:p w:rsidR="00D31224" w:rsidRDefault="00D31224" w:rsidP="00D31224">
      <w:pPr>
        <w:rPr>
          <w:rFonts w:asciiTheme="majorBidi" w:hAnsiTheme="majorBidi" w:cstheme="majorBidi"/>
          <w:b/>
          <w:bCs/>
          <w:lang w:bidi="ar-EG"/>
        </w:rPr>
      </w:pPr>
    </w:p>
    <w:p w:rsidR="00D31224" w:rsidRPr="004D5F44" w:rsidRDefault="004D5F44" w:rsidP="00222B44">
      <w:pPr>
        <w:rPr>
          <w:rFonts w:asciiTheme="majorBidi" w:hAnsiTheme="majorBidi" w:cstheme="majorBidi"/>
          <w:lang w:bidi="ar-EG"/>
        </w:rPr>
      </w:pPr>
      <m:oMathPara>
        <m:oMath>
          <m:r>
            <w:rPr>
              <w:rFonts w:ascii="Cambria Math" w:hAnsi="Cambria Math" w:cstheme="majorBidi"/>
              <w:lang w:bidi="ar-EG"/>
            </w:rPr>
            <m:t>Standard deviation of CPI=</m:t>
          </m:r>
          <m:rad>
            <m:radPr>
              <m:ctrlPr>
                <w:rPr>
                  <w:rFonts w:ascii="Cambria Math" w:hAnsi="Cambria Math" w:cstheme="majorBidi"/>
                  <w:i/>
                  <w:lang w:bidi="ar-EG"/>
                </w:rPr>
              </m:ctrlPr>
            </m:radPr>
            <m:deg/>
            <m:e>
              <m:f>
                <m:fPr>
                  <m:ctrlPr>
                    <w:rPr>
                      <w:rFonts w:ascii="Cambria Math" w:hAnsi="Cambria Math" w:cstheme="majorBidi"/>
                      <w:i/>
                      <w:lang w:bidi="ar-EG"/>
                    </w:rPr>
                  </m:ctrlPr>
                </m:fPr>
                <m:num>
                  <m:nary>
                    <m:naryPr>
                      <m:chr m:val="∑"/>
                      <m:limLoc m:val="undOvr"/>
                      <m:ctrlPr>
                        <w:rPr>
                          <w:rFonts w:ascii="Cambria Math" w:hAnsi="Cambria Math" w:cstheme="majorBidi"/>
                          <w:i/>
                          <w:lang w:bidi="ar-EG"/>
                        </w:rPr>
                      </m:ctrlPr>
                    </m:naryPr>
                    <m:sub>
                      <m:r>
                        <w:rPr>
                          <w:rFonts w:ascii="Cambria Math" w:hAnsi="Cambria Math" w:cstheme="majorBidi"/>
                          <w:lang w:bidi="ar-EG"/>
                        </w:rPr>
                        <m:t>t=1</m:t>
                      </m:r>
                    </m:sub>
                    <m:sup>
                      <m:r>
                        <w:rPr>
                          <w:rFonts w:ascii="Cambria Math" w:hAnsi="Cambria Math" w:cstheme="majorBidi"/>
                          <w:lang w:bidi="ar-EG"/>
                        </w:rPr>
                        <m:t>N</m:t>
                      </m:r>
                    </m:sup>
                    <m:e>
                      <m:d>
                        <m:dPr>
                          <m:ctrlPr>
                            <w:rPr>
                              <w:rFonts w:ascii="Cambria Math" w:hAnsi="Cambria Math" w:cstheme="majorBidi"/>
                              <w:i/>
                              <w:lang w:bidi="ar-EG"/>
                            </w:rPr>
                          </m:ctrlPr>
                        </m:dPr>
                        <m:e>
                          <m:r>
                            <w:rPr>
                              <w:rFonts w:ascii="Cambria Math" w:hAnsi="Cambria Math" w:cstheme="majorBidi"/>
                              <w:lang w:bidi="ar-EG"/>
                            </w:rPr>
                            <m:t xml:space="preserve"> CPI-MCPI</m:t>
                          </m:r>
                        </m:e>
                      </m:d>
                      <m:sPre>
                        <m:sPrePr>
                          <m:ctrlPr>
                            <w:rPr>
                              <w:rFonts w:ascii="Cambria Math" w:hAnsi="Cambria Math" w:cstheme="majorBidi"/>
                              <w:i/>
                              <w:lang w:bidi="ar-EG"/>
                            </w:rPr>
                          </m:ctrlPr>
                        </m:sPrePr>
                        <m:sub/>
                        <m:sup>
                          <m:r>
                            <w:rPr>
                              <w:rFonts w:ascii="Cambria Math" w:hAnsi="Cambria Math" w:cstheme="majorBidi"/>
                              <w:lang w:bidi="ar-EG"/>
                            </w:rPr>
                            <m:t>2</m:t>
                          </m:r>
                        </m:sup>
                        <m:e/>
                      </m:sPre>
                    </m:e>
                  </m:nary>
                </m:num>
                <m:den>
                  <m:r>
                    <w:rPr>
                      <w:rFonts w:ascii="Cambria Math" w:hAnsi="Cambria Math" w:cstheme="majorBidi"/>
                      <w:lang w:bidi="ar-EG"/>
                    </w:rPr>
                    <m:t>N</m:t>
                  </m:r>
                </m:den>
              </m:f>
            </m:e>
          </m:rad>
          <m:r>
            <w:rPr>
              <w:rFonts w:ascii="Cambria Math" w:hAnsi="Cambria Math" w:cstheme="majorBidi"/>
              <w:lang w:bidi="ar-EG"/>
            </w:rPr>
            <m:t xml:space="preserve"> </m:t>
          </m:r>
        </m:oMath>
      </m:oMathPara>
    </w:p>
    <w:p w:rsidR="00D31224" w:rsidRDefault="00D31224" w:rsidP="00D31224">
      <w:pPr>
        <w:rPr>
          <w:rFonts w:asciiTheme="majorBidi" w:hAnsiTheme="majorBidi" w:cstheme="majorBidi"/>
          <w:b/>
          <w:bCs/>
          <w:lang w:bidi="ar-EG"/>
        </w:rPr>
      </w:pPr>
    </w:p>
    <w:p w:rsidR="00D31224" w:rsidRDefault="00D31224" w:rsidP="000C075A">
      <w:pPr>
        <w:jc w:val="right"/>
        <w:rPr>
          <w:rFonts w:asciiTheme="majorBidi" w:hAnsiTheme="majorBidi" w:cstheme="majorBidi"/>
          <w:b/>
          <w:bCs/>
          <w:lang w:bidi="ar-EG"/>
        </w:rPr>
      </w:pPr>
    </w:p>
    <w:p w:rsidR="00222B44" w:rsidRDefault="00222B44" w:rsidP="000C075A">
      <w:pPr>
        <w:jc w:val="right"/>
        <w:rPr>
          <w:rFonts w:asciiTheme="majorBidi" w:hAnsiTheme="majorBidi" w:cstheme="majorBidi"/>
          <w:b/>
          <w:bCs/>
          <w:lang w:bidi="ar-EG"/>
        </w:rPr>
      </w:pPr>
    </w:p>
    <w:p w:rsidR="00222B44" w:rsidRPr="00222B44" w:rsidRDefault="00222B44" w:rsidP="00222B44">
      <w:pPr>
        <w:rPr>
          <w:rFonts w:asciiTheme="majorBidi" w:hAnsiTheme="majorBidi" w:cstheme="majorBidi"/>
          <w:lang w:bidi="ar-EG"/>
        </w:rPr>
      </w:pPr>
      <w:r w:rsidRPr="00222B44">
        <w:rPr>
          <w:rFonts w:asciiTheme="majorBidi" w:hAnsiTheme="majorBidi" w:cstheme="majorBidi"/>
          <w:lang w:bidi="ar-EG"/>
        </w:rPr>
        <w:t>N: the number of year, which in our study 39 years.</w:t>
      </w:r>
    </w:p>
    <w:p w:rsidR="00222B44" w:rsidRPr="00222B44" w:rsidRDefault="00B22A84" w:rsidP="00222B44">
      <w:pPr>
        <w:rPr>
          <w:rFonts w:asciiTheme="majorBidi" w:hAnsiTheme="majorBidi" w:cstheme="majorBidi"/>
          <w:lang w:bidi="ar-EG"/>
        </w:rPr>
      </w:pPr>
      <w:r>
        <w:rPr>
          <w:rFonts w:asciiTheme="majorBidi" w:hAnsiTheme="majorBidi" w:cstheme="majorBidi"/>
          <w:lang w:bidi="ar-EG"/>
        </w:rPr>
        <w:t>t</w:t>
      </w:r>
      <w:r w:rsidR="00222B44" w:rsidRPr="00222B44">
        <w:rPr>
          <w:rFonts w:asciiTheme="majorBidi" w:hAnsiTheme="majorBidi" w:cstheme="majorBidi"/>
          <w:lang w:bidi="ar-EG"/>
        </w:rPr>
        <w:t>: year</w:t>
      </w:r>
    </w:p>
    <w:p w:rsidR="00222B44" w:rsidRDefault="00222B44" w:rsidP="00222B44">
      <w:pPr>
        <w:rPr>
          <w:rFonts w:asciiTheme="majorBidi" w:hAnsiTheme="majorBidi" w:cstheme="majorBidi"/>
          <w:lang w:bidi="ar-EG"/>
        </w:rPr>
      </w:pPr>
      <w:r w:rsidRPr="00222B44">
        <w:rPr>
          <w:rFonts w:asciiTheme="majorBidi" w:hAnsiTheme="majorBidi" w:cstheme="majorBidi"/>
          <w:lang w:bidi="ar-EG"/>
        </w:rPr>
        <w:t>MCPI: the mean of consumer price index.</w:t>
      </w:r>
    </w:p>
    <w:p w:rsidR="00222B44" w:rsidRPr="00222B44" w:rsidRDefault="00222B44" w:rsidP="00222B44">
      <w:pPr>
        <w:rPr>
          <w:rFonts w:asciiTheme="majorBidi" w:hAnsiTheme="majorBidi" w:cstheme="majorBidi"/>
          <w:lang w:bidi="ar-EG"/>
        </w:rPr>
      </w:pPr>
    </w:p>
    <w:p w:rsidR="00222B44" w:rsidRDefault="00222B44" w:rsidP="00222B44">
      <w:pPr>
        <w:rPr>
          <w:rFonts w:asciiTheme="majorBidi" w:hAnsiTheme="majorBidi" w:cstheme="majorBidi"/>
          <w:b/>
          <w:bCs/>
          <w:rtl/>
          <w:lang w:bidi="ar-EG"/>
        </w:rPr>
      </w:pPr>
    </w:p>
    <w:p w:rsidR="000C075A" w:rsidRDefault="000C075A" w:rsidP="000C075A">
      <w:pPr>
        <w:rPr>
          <w:rFonts w:asciiTheme="majorBidi" w:hAnsiTheme="majorBidi" w:cstheme="majorBidi"/>
          <w:b/>
          <w:bCs/>
          <w:lang w:bidi="ar-EG"/>
        </w:rPr>
      </w:pPr>
      <w:r w:rsidRPr="00006D66">
        <w:rPr>
          <w:rFonts w:asciiTheme="majorBidi" w:hAnsiTheme="majorBidi" w:cstheme="majorBidi"/>
          <w:b/>
          <w:bCs/>
          <w:lang w:bidi="ar-EG"/>
        </w:rPr>
        <w:t>Table (</w:t>
      </w:r>
      <w:r>
        <w:rPr>
          <w:rFonts w:asciiTheme="majorBidi" w:hAnsiTheme="majorBidi" w:cstheme="majorBidi"/>
          <w:b/>
          <w:bCs/>
          <w:lang w:bidi="ar-EG"/>
        </w:rPr>
        <w:t>8</w:t>
      </w:r>
      <w:r w:rsidRPr="00006D66">
        <w:rPr>
          <w:rFonts w:asciiTheme="majorBidi" w:hAnsiTheme="majorBidi" w:cstheme="majorBidi"/>
          <w:b/>
          <w:bCs/>
          <w:lang w:bidi="ar-EG"/>
        </w:rPr>
        <w:t>)</w:t>
      </w:r>
      <w:r>
        <w:rPr>
          <w:rFonts w:asciiTheme="majorBidi" w:hAnsiTheme="majorBidi" w:cstheme="majorBidi"/>
          <w:b/>
          <w:bCs/>
          <w:lang w:bidi="ar-EG"/>
        </w:rPr>
        <w:t xml:space="preserve"> the standard deviation of ACPI</w:t>
      </w:r>
      <w:r w:rsidRPr="00006D66">
        <w:rPr>
          <w:rFonts w:asciiTheme="majorBidi" w:hAnsiTheme="majorBidi" w:cstheme="majorBidi"/>
          <w:b/>
          <w:bCs/>
          <w:lang w:bidi="ar-EG"/>
        </w:rPr>
        <w:t>:</w:t>
      </w:r>
    </w:p>
    <w:p w:rsidR="000C075A" w:rsidRDefault="000C075A" w:rsidP="000C075A">
      <w:pPr>
        <w:jc w:val="right"/>
        <w:rPr>
          <w:rFonts w:asciiTheme="majorBidi" w:hAnsiTheme="majorBidi" w:cstheme="majorBidi"/>
          <w:b/>
          <w:bCs/>
          <w:lang w:bidi="ar-EG"/>
        </w:rPr>
      </w:pPr>
    </w:p>
    <w:tbl>
      <w:tblPr>
        <w:tblStyle w:val="TableGrid"/>
        <w:bidiVisual/>
        <w:tblW w:w="0" w:type="auto"/>
        <w:tblInd w:w="4025" w:type="dxa"/>
        <w:tblLook w:val="04A0"/>
      </w:tblPr>
      <w:tblGrid>
        <w:gridCol w:w="2977"/>
        <w:gridCol w:w="1520"/>
      </w:tblGrid>
      <w:tr w:rsidR="000C075A" w:rsidTr="002E760E">
        <w:tc>
          <w:tcPr>
            <w:tcW w:w="2977" w:type="dxa"/>
          </w:tcPr>
          <w:p w:rsidR="000C075A" w:rsidRDefault="000C075A" w:rsidP="000C075A">
            <w:pPr>
              <w:rPr>
                <w:rFonts w:asciiTheme="majorBidi" w:hAnsiTheme="majorBidi" w:cstheme="majorBidi"/>
                <w:b/>
                <w:bCs/>
                <w:sz w:val="24"/>
                <w:szCs w:val="24"/>
                <w:lang w:bidi="ar-EG"/>
              </w:rPr>
            </w:pPr>
            <w:r>
              <w:rPr>
                <w:rFonts w:asciiTheme="majorBidi" w:hAnsiTheme="majorBidi" w:cstheme="majorBidi"/>
                <w:b/>
                <w:bCs/>
                <w:sz w:val="24"/>
                <w:szCs w:val="24"/>
                <w:lang w:bidi="ar-EG"/>
              </w:rPr>
              <w:t>Standard deviation of CPI</w:t>
            </w:r>
          </w:p>
        </w:tc>
        <w:tc>
          <w:tcPr>
            <w:tcW w:w="1520" w:type="dxa"/>
          </w:tcPr>
          <w:p w:rsidR="000C075A" w:rsidRDefault="000C075A" w:rsidP="000C075A">
            <w:pPr>
              <w:rPr>
                <w:rFonts w:asciiTheme="majorBidi" w:hAnsiTheme="majorBidi" w:cstheme="majorBidi"/>
                <w:b/>
                <w:bCs/>
                <w:sz w:val="24"/>
                <w:szCs w:val="24"/>
                <w:lang w:bidi="ar-EG"/>
              </w:rPr>
            </w:pPr>
            <w:r>
              <w:rPr>
                <w:rFonts w:asciiTheme="majorBidi" w:hAnsiTheme="majorBidi" w:cstheme="majorBidi"/>
                <w:b/>
                <w:bCs/>
                <w:sz w:val="24"/>
                <w:szCs w:val="24"/>
                <w:lang w:bidi="ar-EG"/>
              </w:rPr>
              <w:t>County</w:t>
            </w:r>
          </w:p>
        </w:tc>
      </w:tr>
      <w:tr w:rsidR="000C075A" w:rsidTr="002E760E">
        <w:tc>
          <w:tcPr>
            <w:tcW w:w="2977" w:type="dxa"/>
          </w:tcPr>
          <w:p w:rsidR="000C075A" w:rsidRPr="00A91404" w:rsidRDefault="000C075A" w:rsidP="000C075A">
            <w:pPr>
              <w:rPr>
                <w:rFonts w:asciiTheme="majorBidi" w:hAnsiTheme="majorBidi" w:cstheme="majorBidi"/>
                <w:sz w:val="24"/>
                <w:szCs w:val="24"/>
                <w:lang w:bidi="ar-EG"/>
              </w:rPr>
            </w:pPr>
            <w:r>
              <w:rPr>
                <w:rFonts w:asciiTheme="majorBidi" w:hAnsiTheme="majorBidi" w:cstheme="majorBidi"/>
                <w:sz w:val="24"/>
                <w:szCs w:val="24"/>
                <w:lang w:bidi="ar-EG"/>
              </w:rPr>
              <w:t>70.42</w:t>
            </w:r>
          </w:p>
        </w:tc>
        <w:tc>
          <w:tcPr>
            <w:tcW w:w="1520" w:type="dxa"/>
          </w:tcPr>
          <w:p w:rsidR="000C075A" w:rsidRPr="00A91404" w:rsidRDefault="000C075A" w:rsidP="000C075A">
            <w:pPr>
              <w:rPr>
                <w:rFonts w:asciiTheme="majorBidi" w:hAnsiTheme="majorBidi" w:cstheme="majorBidi"/>
                <w:sz w:val="24"/>
                <w:szCs w:val="24"/>
                <w:lang w:bidi="ar-EG"/>
              </w:rPr>
            </w:pPr>
            <w:r w:rsidRPr="00A91404">
              <w:rPr>
                <w:rFonts w:asciiTheme="majorBidi" w:hAnsiTheme="majorBidi" w:cstheme="majorBidi"/>
                <w:sz w:val="24"/>
                <w:szCs w:val="24"/>
                <w:lang w:bidi="ar-EG"/>
              </w:rPr>
              <w:t>USA</w:t>
            </w:r>
          </w:p>
        </w:tc>
      </w:tr>
      <w:tr w:rsidR="000C075A" w:rsidTr="002E760E">
        <w:tc>
          <w:tcPr>
            <w:tcW w:w="2977" w:type="dxa"/>
          </w:tcPr>
          <w:p w:rsidR="000C075A" w:rsidRPr="00A91404" w:rsidRDefault="000C075A" w:rsidP="000C075A">
            <w:pPr>
              <w:rPr>
                <w:rFonts w:asciiTheme="majorBidi" w:hAnsiTheme="majorBidi" w:cstheme="majorBidi"/>
                <w:sz w:val="24"/>
                <w:szCs w:val="24"/>
                <w:lang w:bidi="ar-EG"/>
              </w:rPr>
            </w:pPr>
            <w:r>
              <w:rPr>
                <w:rFonts w:asciiTheme="majorBidi" w:hAnsiTheme="majorBidi" w:cstheme="majorBidi"/>
                <w:sz w:val="24"/>
                <w:szCs w:val="24"/>
                <w:lang w:bidi="ar-EG"/>
              </w:rPr>
              <w:t>35.75</w:t>
            </w:r>
          </w:p>
        </w:tc>
        <w:tc>
          <w:tcPr>
            <w:tcW w:w="1520" w:type="dxa"/>
          </w:tcPr>
          <w:p w:rsidR="000C075A" w:rsidRPr="00A91404" w:rsidRDefault="000C075A" w:rsidP="000C075A">
            <w:pPr>
              <w:rPr>
                <w:rFonts w:asciiTheme="majorBidi" w:hAnsiTheme="majorBidi" w:cstheme="majorBidi"/>
                <w:sz w:val="24"/>
                <w:szCs w:val="24"/>
                <w:lang w:bidi="ar-EG"/>
              </w:rPr>
            </w:pPr>
            <w:r w:rsidRPr="00A91404">
              <w:rPr>
                <w:rFonts w:asciiTheme="majorBidi" w:hAnsiTheme="majorBidi" w:cstheme="majorBidi"/>
                <w:sz w:val="24"/>
                <w:szCs w:val="24"/>
                <w:lang w:bidi="ar-EG"/>
              </w:rPr>
              <w:t>UK</w:t>
            </w:r>
          </w:p>
        </w:tc>
      </w:tr>
      <w:tr w:rsidR="000C075A" w:rsidTr="002E760E">
        <w:tc>
          <w:tcPr>
            <w:tcW w:w="2977" w:type="dxa"/>
          </w:tcPr>
          <w:p w:rsidR="000C075A" w:rsidRPr="00A91404" w:rsidRDefault="000C075A" w:rsidP="000C075A">
            <w:pPr>
              <w:rPr>
                <w:rFonts w:asciiTheme="majorBidi" w:hAnsiTheme="majorBidi" w:cstheme="majorBidi"/>
                <w:sz w:val="24"/>
                <w:szCs w:val="24"/>
                <w:lang w:bidi="ar-EG"/>
              </w:rPr>
            </w:pPr>
            <w:r>
              <w:rPr>
                <w:rFonts w:asciiTheme="majorBidi" w:hAnsiTheme="majorBidi" w:cstheme="majorBidi"/>
                <w:sz w:val="24"/>
                <w:szCs w:val="24"/>
                <w:lang w:bidi="ar-EG"/>
              </w:rPr>
              <w:t>28.88</w:t>
            </w:r>
          </w:p>
        </w:tc>
        <w:tc>
          <w:tcPr>
            <w:tcW w:w="1520" w:type="dxa"/>
          </w:tcPr>
          <w:p w:rsidR="000C075A" w:rsidRPr="00A91404" w:rsidRDefault="000C075A" w:rsidP="000C075A">
            <w:pPr>
              <w:rPr>
                <w:rFonts w:asciiTheme="majorBidi" w:hAnsiTheme="majorBidi" w:cstheme="majorBidi"/>
                <w:sz w:val="24"/>
                <w:szCs w:val="24"/>
                <w:lang w:bidi="ar-EG"/>
              </w:rPr>
            </w:pPr>
            <w:r w:rsidRPr="00A91404">
              <w:rPr>
                <w:rFonts w:asciiTheme="majorBidi" w:hAnsiTheme="majorBidi" w:cstheme="majorBidi"/>
                <w:sz w:val="24"/>
                <w:szCs w:val="24"/>
                <w:lang w:bidi="ar-EG"/>
              </w:rPr>
              <w:t>Japan</w:t>
            </w:r>
          </w:p>
        </w:tc>
      </w:tr>
      <w:tr w:rsidR="000C075A" w:rsidTr="002E760E">
        <w:tc>
          <w:tcPr>
            <w:tcW w:w="2977" w:type="dxa"/>
          </w:tcPr>
          <w:p w:rsidR="000C075A" w:rsidRPr="00A91404" w:rsidRDefault="000C075A" w:rsidP="000C075A">
            <w:pPr>
              <w:rPr>
                <w:rFonts w:asciiTheme="majorBidi" w:hAnsiTheme="majorBidi" w:cstheme="majorBidi"/>
                <w:sz w:val="24"/>
                <w:szCs w:val="24"/>
                <w:lang w:bidi="ar-EG"/>
              </w:rPr>
            </w:pPr>
            <w:r>
              <w:rPr>
                <w:rFonts w:asciiTheme="majorBidi" w:hAnsiTheme="majorBidi" w:cstheme="majorBidi"/>
                <w:sz w:val="24"/>
                <w:szCs w:val="24"/>
                <w:lang w:bidi="ar-EG"/>
              </w:rPr>
              <w:t>38.1</w:t>
            </w:r>
          </w:p>
        </w:tc>
        <w:tc>
          <w:tcPr>
            <w:tcW w:w="1520" w:type="dxa"/>
          </w:tcPr>
          <w:p w:rsidR="000C075A" w:rsidRPr="00A91404" w:rsidRDefault="000C075A" w:rsidP="000C075A">
            <w:pPr>
              <w:rPr>
                <w:rFonts w:asciiTheme="majorBidi" w:hAnsiTheme="majorBidi" w:cstheme="majorBidi"/>
                <w:sz w:val="24"/>
                <w:szCs w:val="24"/>
                <w:lang w:bidi="ar-EG"/>
              </w:rPr>
            </w:pPr>
            <w:r w:rsidRPr="00A91404">
              <w:rPr>
                <w:rFonts w:asciiTheme="majorBidi" w:hAnsiTheme="majorBidi" w:cstheme="majorBidi"/>
                <w:sz w:val="24"/>
                <w:szCs w:val="24"/>
                <w:lang w:bidi="ar-EG"/>
              </w:rPr>
              <w:t>Australia</w:t>
            </w:r>
          </w:p>
        </w:tc>
      </w:tr>
    </w:tbl>
    <w:p w:rsidR="000C075A" w:rsidRDefault="000C075A" w:rsidP="00D31224">
      <w:pPr>
        <w:rPr>
          <w:rFonts w:asciiTheme="majorBidi" w:hAnsiTheme="majorBidi" w:cstheme="majorBidi"/>
          <w:b/>
          <w:bCs/>
          <w:lang w:bidi="ar-EG"/>
        </w:rPr>
      </w:pPr>
    </w:p>
    <w:p w:rsidR="000C075A" w:rsidRDefault="000C075A" w:rsidP="000C075A">
      <w:pPr>
        <w:jc w:val="right"/>
        <w:rPr>
          <w:rFonts w:asciiTheme="majorBidi" w:hAnsiTheme="majorBidi" w:cstheme="majorBidi"/>
          <w:b/>
          <w:bCs/>
          <w:lang w:bidi="ar-EG"/>
        </w:rPr>
      </w:pPr>
    </w:p>
    <w:p w:rsidR="00222B44" w:rsidRPr="00222B44" w:rsidRDefault="00222B44" w:rsidP="00222B44">
      <w:pPr>
        <w:rPr>
          <w:rFonts w:asciiTheme="majorBidi" w:hAnsiTheme="majorBidi" w:cstheme="majorBidi"/>
          <w:vertAlign w:val="superscript"/>
          <w:lang w:bidi="ar-EG"/>
        </w:rPr>
      </w:pPr>
      <w:r w:rsidRPr="00222B44">
        <w:rPr>
          <w:rFonts w:asciiTheme="majorBidi" w:hAnsiTheme="majorBidi" w:cstheme="majorBidi"/>
          <w:lang w:bidi="ar-EG"/>
        </w:rPr>
        <w:t>Note: the standard deviation is calculated by using this formula:</w:t>
      </w:r>
    </w:p>
    <w:p w:rsidR="00222B44" w:rsidRDefault="00222B44" w:rsidP="00222B44">
      <w:pPr>
        <w:rPr>
          <w:rFonts w:asciiTheme="majorBidi" w:hAnsiTheme="majorBidi" w:cstheme="majorBidi"/>
          <w:b/>
          <w:bCs/>
          <w:lang w:bidi="ar-EG"/>
        </w:rPr>
      </w:pPr>
    </w:p>
    <w:p w:rsidR="00222B44" w:rsidRPr="004D5F44" w:rsidRDefault="004D5F44" w:rsidP="00222B44">
      <w:pPr>
        <w:rPr>
          <w:rFonts w:asciiTheme="majorBidi" w:hAnsiTheme="majorBidi" w:cstheme="majorBidi"/>
          <w:lang w:bidi="ar-EG"/>
        </w:rPr>
      </w:pPr>
      <m:oMathPara>
        <m:oMath>
          <m:r>
            <w:rPr>
              <w:rFonts w:ascii="Cambria Math" w:hAnsi="Cambria Math" w:cstheme="majorBidi"/>
              <w:lang w:bidi="ar-EG"/>
            </w:rPr>
            <m:t>Standard deviation of ACPI=</m:t>
          </m:r>
          <m:rad>
            <m:radPr>
              <m:ctrlPr>
                <w:rPr>
                  <w:rFonts w:ascii="Cambria Math" w:hAnsi="Cambria Math" w:cstheme="majorBidi"/>
                  <w:i/>
                  <w:lang w:bidi="ar-EG"/>
                </w:rPr>
              </m:ctrlPr>
            </m:radPr>
            <m:deg/>
            <m:e>
              <m:f>
                <m:fPr>
                  <m:ctrlPr>
                    <w:rPr>
                      <w:rFonts w:ascii="Cambria Math" w:hAnsi="Cambria Math" w:cstheme="majorBidi"/>
                      <w:i/>
                      <w:lang w:bidi="ar-EG"/>
                    </w:rPr>
                  </m:ctrlPr>
                </m:fPr>
                <m:num>
                  <m:nary>
                    <m:naryPr>
                      <m:chr m:val="∑"/>
                      <m:limLoc m:val="undOvr"/>
                      <m:ctrlPr>
                        <w:rPr>
                          <w:rFonts w:ascii="Cambria Math" w:hAnsi="Cambria Math" w:cstheme="majorBidi"/>
                          <w:i/>
                          <w:lang w:bidi="ar-EG"/>
                        </w:rPr>
                      </m:ctrlPr>
                    </m:naryPr>
                    <m:sub>
                      <m:r>
                        <w:rPr>
                          <w:rFonts w:ascii="Cambria Math" w:hAnsi="Cambria Math" w:cstheme="majorBidi"/>
                          <w:lang w:bidi="ar-EG"/>
                        </w:rPr>
                        <m:t>t=1</m:t>
                      </m:r>
                    </m:sub>
                    <m:sup>
                      <m:r>
                        <w:rPr>
                          <w:rFonts w:ascii="Cambria Math" w:hAnsi="Cambria Math" w:cstheme="majorBidi"/>
                          <w:lang w:bidi="ar-EG"/>
                        </w:rPr>
                        <m:t>N</m:t>
                      </m:r>
                    </m:sup>
                    <m:e>
                      <m:d>
                        <m:dPr>
                          <m:ctrlPr>
                            <w:rPr>
                              <w:rFonts w:ascii="Cambria Math" w:hAnsi="Cambria Math" w:cstheme="majorBidi"/>
                              <w:i/>
                              <w:lang w:bidi="ar-EG"/>
                            </w:rPr>
                          </m:ctrlPr>
                        </m:dPr>
                        <m:e>
                          <m:r>
                            <w:rPr>
                              <w:rFonts w:ascii="Cambria Math" w:hAnsi="Cambria Math" w:cstheme="majorBidi"/>
                              <w:lang w:bidi="ar-EG"/>
                            </w:rPr>
                            <m:t xml:space="preserve"> ACPI-MACPI</m:t>
                          </m:r>
                        </m:e>
                      </m:d>
                      <m:sPre>
                        <m:sPrePr>
                          <m:ctrlPr>
                            <w:rPr>
                              <w:rFonts w:ascii="Cambria Math" w:hAnsi="Cambria Math" w:cstheme="majorBidi"/>
                              <w:i/>
                              <w:lang w:bidi="ar-EG"/>
                            </w:rPr>
                          </m:ctrlPr>
                        </m:sPrePr>
                        <m:sub/>
                        <m:sup>
                          <m:r>
                            <w:rPr>
                              <w:rFonts w:ascii="Cambria Math" w:hAnsi="Cambria Math" w:cstheme="majorBidi"/>
                              <w:lang w:bidi="ar-EG"/>
                            </w:rPr>
                            <m:t>2</m:t>
                          </m:r>
                        </m:sup>
                        <m:e/>
                      </m:sPre>
                    </m:e>
                  </m:nary>
                </m:num>
                <m:den>
                  <m:r>
                    <w:rPr>
                      <w:rFonts w:ascii="Cambria Math" w:hAnsi="Cambria Math" w:cstheme="majorBidi"/>
                      <w:lang w:bidi="ar-EG"/>
                    </w:rPr>
                    <m:t>N</m:t>
                  </m:r>
                </m:den>
              </m:f>
            </m:e>
          </m:rad>
          <m:r>
            <w:rPr>
              <w:rFonts w:ascii="Cambria Math" w:hAnsi="Cambria Math" w:cstheme="majorBidi"/>
              <w:lang w:bidi="ar-EG"/>
            </w:rPr>
            <m:t xml:space="preserve"> </m:t>
          </m:r>
        </m:oMath>
      </m:oMathPara>
    </w:p>
    <w:p w:rsidR="00222B44" w:rsidRDefault="00222B44" w:rsidP="00222B44">
      <w:pPr>
        <w:rPr>
          <w:rFonts w:asciiTheme="majorBidi" w:hAnsiTheme="majorBidi" w:cstheme="majorBidi"/>
          <w:b/>
          <w:bCs/>
          <w:lang w:bidi="ar-EG"/>
        </w:rPr>
      </w:pPr>
    </w:p>
    <w:p w:rsidR="00222B44" w:rsidRDefault="00222B44" w:rsidP="00222B44">
      <w:pPr>
        <w:jc w:val="right"/>
        <w:rPr>
          <w:rFonts w:asciiTheme="majorBidi" w:hAnsiTheme="majorBidi" w:cstheme="majorBidi"/>
          <w:b/>
          <w:bCs/>
          <w:lang w:bidi="ar-EG"/>
        </w:rPr>
      </w:pPr>
    </w:p>
    <w:p w:rsidR="00222B44" w:rsidRDefault="00222B44" w:rsidP="00222B44">
      <w:pPr>
        <w:jc w:val="right"/>
        <w:rPr>
          <w:rFonts w:asciiTheme="majorBidi" w:hAnsiTheme="majorBidi" w:cstheme="majorBidi"/>
          <w:b/>
          <w:bCs/>
          <w:lang w:bidi="ar-EG"/>
        </w:rPr>
      </w:pPr>
    </w:p>
    <w:p w:rsidR="00222B44" w:rsidRPr="00222B44" w:rsidRDefault="00222B44" w:rsidP="00222B44">
      <w:pPr>
        <w:rPr>
          <w:rFonts w:asciiTheme="majorBidi" w:hAnsiTheme="majorBidi" w:cstheme="majorBidi"/>
          <w:lang w:bidi="ar-EG"/>
        </w:rPr>
      </w:pPr>
      <w:r w:rsidRPr="00222B44">
        <w:rPr>
          <w:rFonts w:asciiTheme="majorBidi" w:hAnsiTheme="majorBidi" w:cstheme="majorBidi"/>
          <w:lang w:bidi="ar-EG"/>
        </w:rPr>
        <w:t>N: the number of year, which in our study 39 years.</w:t>
      </w:r>
    </w:p>
    <w:p w:rsidR="00222B44" w:rsidRPr="00222B44" w:rsidRDefault="00B22A84" w:rsidP="00222B44">
      <w:pPr>
        <w:rPr>
          <w:rFonts w:asciiTheme="majorBidi" w:hAnsiTheme="majorBidi" w:cstheme="majorBidi"/>
          <w:lang w:bidi="ar-EG"/>
        </w:rPr>
      </w:pPr>
      <w:r>
        <w:rPr>
          <w:rFonts w:asciiTheme="majorBidi" w:hAnsiTheme="majorBidi" w:cstheme="majorBidi"/>
          <w:lang w:bidi="ar-EG"/>
        </w:rPr>
        <w:t>t</w:t>
      </w:r>
      <w:r w:rsidR="00222B44" w:rsidRPr="00222B44">
        <w:rPr>
          <w:rFonts w:asciiTheme="majorBidi" w:hAnsiTheme="majorBidi" w:cstheme="majorBidi"/>
          <w:lang w:bidi="ar-EG"/>
        </w:rPr>
        <w:t>: year</w:t>
      </w:r>
    </w:p>
    <w:p w:rsidR="00222B44" w:rsidRDefault="00222B44" w:rsidP="00222B44">
      <w:pPr>
        <w:rPr>
          <w:rFonts w:asciiTheme="majorBidi" w:hAnsiTheme="majorBidi" w:cstheme="majorBidi"/>
          <w:lang w:bidi="ar-EG"/>
        </w:rPr>
      </w:pPr>
      <w:r w:rsidRPr="00222B44">
        <w:rPr>
          <w:rFonts w:asciiTheme="majorBidi" w:hAnsiTheme="majorBidi" w:cstheme="majorBidi"/>
          <w:lang w:bidi="ar-EG"/>
        </w:rPr>
        <w:t>M</w:t>
      </w:r>
      <w:r>
        <w:rPr>
          <w:rFonts w:asciiTheme="majorBidi" w:hAnsiTheme="majorBidi" w:cstheme="majorBidi"/>
          <w:lang w:bidi="ar-EG"/>
        </w:rPr>
        <w:t>A</w:t>
      </w:r>
      <w:r w:rsidRPr="00222B44">
        <w:rPr>
          <w:rFonts w:asciiTheme="majorBidi" w:hAnsiTheme="majorBidi" w:cstheme="majorBidi"/>
          <w:lang w:bidi="ar-EG"/>
        </w:rPr>
        <w:t>CPI: the mean of</w:t>
      </w:r>
      <w:r>
        <w:rPr>
          <w:rFonts w:asciiTheme="majorBidi" w:hAnsiTheme="majorBidi" w:cstheme="majorBidi"/>
          <w:lang w:bidi="ar-EG"/>
        </w:rPr>
        <w:t xml:space="preserve"> adjusted</w:t>
      </w:r>
      <w:r w:rsidRPr="00222B44">
        <w:rPr>
          <w:rFonts w:asciiTheme="majorBidi" w:hAnsiTheme="majorBidi" w:cstheme="majorBidi"/>
          <w:lang w:bidi="ar-EG"/>
        </w:rPr>
        <w:t xml:space="preserve"> consumer price index.</w:t>
      </w:r>
    </w:p>
    <w:p w:rsidR="000C075A" w:rsidRDefault="000C075A" w:rsidP="00222B44">
      <w:pPr>
        <w:rPr>
          <w:rFonts w:asciiTheme="majorBidi" w:hAnsiTheme="majorBidi" w:cstheme="majorBidi"/>
          <w:b/>
          <w:bCs/>
          <w:lang w:bidi="ar-EG"/>
        </w:rPr>
      </w:pPr>
    </w:p>
    <w:p w:rsidR="00222B44" w:rsidRDefault="00222B44" w:rsidP="00222B44">
      <w:pPr>
        <w:rPr>
          <w:rFonts w:asciiTheme="majorBidi" w:hAnsiTheme="majorBidi" w:cstheme="majorBidi"/>
          <w:b/>
          <w:bCs/>
          <w:lang w:bidi="ar-EG"/>
        </w:rPr>
      </w:pPr>
    </w:p>
    <w:p w:rsidR="00222B44" w:rsidRDefault="00222B44" w:rsidP="00222B44">
      <w:pPr>
        <w:rPr>
          <w:rFonts w:asciiTheme="majorBidi" w:hAnsiTheme="majorBidi" w:cstheme="majorBidi"/>
          <w:b/>
          <w:bCs/>
          <w:lang w:bidi="ar-EG"/>
        </w:rPr>
      </w:pPr>
    </w:p>
    <w:p w:rsidR="00222B44" w:rsidRDefault="00222B44" w:rsidP="00222B44">
      <w:pPr>
        <w:rPr>
          <w:rFonts w:asciiTheme="majorBidi" w:hAnsiTheme="majorBidi" w:cstheme="majorBidi"/>
          <w:b/>
          <w:bCs/>
          <w:lang w:bidi="ar-EG"/>
        </w:rPr>
      </w:pPr>
    </w:p>
    <w:p w:rsidR="00222B44" w:rsidRDefault="00222B44" w:rsidP="00222B44">
      <w:pPr>
        <w:rPr>
          <w:rFonts w:asciiTheme="majorBidi" w:hAnsiTheme="majorBidi" w:cstheme="majorBidi"/>
          <w:b/>
          <w:bCs/>
          <w:lang w:bidi="ar-EG"/>
        </w:rPr>
      </w:pPr>
    </w:p>
    <w:p w:rsidR="00222B44" w:rsidRDefault="00222B44" w:rsidP="00222B44">
      <w:pPr>
        <w:rPr>
          <w:rFonts w:asciiTheme="majorBidi" w:hAnsiTheme="majorBidi" w:cstheme="majorBidi"/>
          <w:b/>
          <w:bCs/>
          <w:lang w:bidi="ar-EG"/>
        </w:rPr>
      </w:pPr>
    </w:p>
    <w:p w:rsidR="000C075A" w:rsidRDefault="000C075A" w:rsidP="00BA60CD">
      <w:pPr>
        <w:rPr>
          <w:rFonts w:asciiTheme="majorBidi" w:hAnsiTheme="majorBidi" w:cstheme="majorBidi"/>
          <w:b/>
          <w:bCs/>
          <w:lang w:bidi="ar-EG"/>
        </w:rPr>
      </w:pPr>
      <w:r w:rsidRPr="00006D66">
        <w:rPr>
          <w:rFonts w:asciiTheme="majorBidi" w:hAnsiTheme="majorBidi" w:cstheme="majorBidi"/>
          <w:b/>
          <w:bCs/>
          <w:lang w:bidi="ar-EG"/>
        </w:rPr>
        <w:t>Table (</w:t>
      </w:r>
      <w:r>
        <w:rPr>
          <w:rFonts w:asciiTheme="majorBidi" w:hAnsiTheme="majorBidi" w:cstheme="majorBidi"/>
          <w:b/>
          <w:bCs/>
          <w:lang w:bidi="ar-EG"/>
        </w:rPr>
        <w:t>9</w:t>
      </w:r>
      <w:r w:rsidRPr="00006D66">
        <w:rPr>
          <w:rFonts w:asciiTheme="majorBidi" w:hAnsiTheme="majorBidi" w:cstheme="majorBidi"/>
          <w:b/>
          <w:bCs/>
          <w:lang w:bidi="ar-EG"/>
        </w:rPr>
        <w:t>)</w:t>
      </w:r>
      <w:r>
        <w:rPr>
          <w:rFonts w:asciiTheme="majorBidi" w:hAnsiTheme="majorBidi" w:cstheme="majorBidi"/>
          <w:b/>
          <w:bCs/>
          <w:lang w:bidi="ar-EG"/>
        </w:rPr>
        <w:t xml:space="preserve"> the standard deviation of IR</w:t>
      </w:r>
      <w:r w:rsidRPr="00006D66">
        <w:rPr>
          <w:rFonts w:asciiTheme="majorBidi" w:hAnsiTheme="majorBidi" w:cstheme="majorBidi"/>
          <w:b/>
          <w:bCs/>
          <w:lang w:bidi="ar-EG"/>
        </w:rPr>
        <w:t>:</w:t>
      </w:r>
    </w:p>
    <w:p w:rsidR="000C075A" w:rsidRDefault="000C075A" w:rsidP="000C075A">
      <w:pPr>
        <w:jc w:val="right"/>
        <w:rPr>
          <w:rFonts w:asciiTheme="majorBidi" w:hAnsiTheme="majorBidi" w:cstheme="majorBidi"/>
          <w:b/>
          <w:bCs/>
          <w:lang w:bidi="ar-EG"/>
        </w:rPr>
      </w:pPr>
    </w:p>
    <w:tbl>
      <w:tblPr>
        <w:tblStyle w:val="TableGrid"/>
        <w:bidiVisual/>
        <w:tblW w:w="0" w:type="auto"/>
        <w:tblInd w:w="4451" w:type="dxa"/>
        <w:tblLook w:val="04A0"/>
      </w:tblPr>
      <w:tblGrid>
        <w:gridCol w:w="2835"/>
        <w:gridCol w:w="1236"/>
      </w:tblGrid>
      <w:tr w:rsidR="000C075A" w:rsidTr="002E760E">
        <w:tc>
          <w:tcPr>
            <w:tcW w:w="2835" w:type="dxa"/>
          </w:tcPr>
          <w:p w:rsidR="000C075A" w:rsidRDefault="000C075A" w:rsidP="000C075A">
            <w:pPr>
              <w:rPr>
                <w:rFonts w:asciiTheme="majorBidi" w:hAnsiTheme="majorBidi" w:cstheme="majorBidi"/>
                <w:b/>
                <w:bCs/>
                <w:sz w:val="24"/>
                <w:szCs w:val="24"/>
                <w:lang w:bidi="ar-EG"/>
              </w:rPr>
            </w:pPr>
            <w:r>
              <w:rPr>
                <w:rFonts w:asciiTheme="majorBidi" w:hAnsiTheme="majorBidi" w:cstheme="majorBidi"/>
                <w:b/>
                <w:bCs/>
                <w:sz w:val="24"/>
                <w:szCs w:val="24"/>
                <w:lang w:bidi="ar-EG"/>
              </w:rPr>
              <w:t>Standard deviation of IR</w:t>
            </w:r>
          </w:p>
        </w:tc>
        <w:tc>
          <w:tcPr>
            <w:tcW w:w="1236" w:type="dxa"/>
          </w:tcPr>
          <w:p w:rsidR="000C075A" w:rsidRDefault="000C075A" w:rsidP="000C075A">
            <w:pPr>
              <w:rPr>
                <w:rFonts w:asciiTheme="majorBidi" w:hAnsiTheme="majorBidi" w:cstheme="majorBidi"/>
                <w:b/>
                <w:bCs/>
                <w:sz w:val="24"/>
                <w:szCs w:val="24"/>
                <w:lang w:bidi="ar-EG"/>
              </w:rPr>
            </w:pPr>
            <w:r>
              <w:rPr>
                <w:rFonts w:asciiTheme="majorBidi" w:hAnsiTheme="majorBidi" w:cstheme="majorBidi"/>
                <w:b/>
                <w:bCs/>
                <w:sz w:val="24"/>
                <w:szCs w:val="24"/>
                <w:lang w:bidi="ar-EG"/>
              </w:rPr>
              <w:t>County</w:t>
            </w:r>
          </w:p>
        </w:tc>
      </w:tr>
      <w:tr w:rsidR="000C075A" w:rsidTr="002E760E">
        <w:tc>
          <w:tcPr>
            <w:tcW w:w="2835" w:type="dxa"/>
          </w:tcPr>
          <w:p w:rsidR="000C075A" w:rsidRPr="00A91404" w:rsidRDefault="000C075A" w:rsidP="000C075A">
            <w:pPr>
              <w:rPr>
                <w:rFonts w:asciiTheme="majorBidi" w:hAnsiTheme="majorBidi" w:cstheme="majorBidi"/>
                <w:sz w:val="24"/>
                <w:szCs w:val="24"/>
                <w:lang w:bidi="ar-EG"/>
              </w:rPr>
            </w:pPr>
            <w:r>
              <w:rPr>
                <w:rFonts w:asciiTheme="majorBidi" w:hAnsiTheme="majorBidi" w:cstheme="majorBidi"/>
                <w:sz w:val="24"/>
                <w:szCs w:val="24"/>
                <w:lang w:bidi="ar-EG"/>
              </w:rPr>
              <w:t>0.0297</w:t>
            </w:r>
          </w:p>
        </w:tc>
        <w:tc>
          <w:tcPr>
            <w:tcW w:w="1236" w:type="dxa"/>
          </w:tcPr>
          <w:p w:rsidR="000C075A" w:rsidRPr="00A91404" w:rsidRDefault="000C075A" w:rsidP="000C075A">
            <w:pPr>
              <w:rPr>
                <w:rFonts w:asciiTheme="majorBidi" w:hAnsiTheme="majorBidi" w:cstheme="majorBidi"/>
                <w:sz w:val="24"/>
                <w:szCs w:val="24"/>
                <w:lang w:bidi="ar-EG"/>
              </w:rPr>
            </w:pPr>
            <w:r w:rsidRPr="00A91404">
              <w:rPr>
                <w:rFonts w:asciiTheme="majorBidi" w:hAnsiTheme="majorBidi" w:cstheme="majorBidi"/>
                <w:sz w:val="24"/>
                <w:szCs w:val="24"/>
                <w:lang w:bidi="ar-EG"/>
              </w:rPr>
              <w:t>USA</w:t>
            </w:r>
          </w:p>
        </w:tc>
      </w:tr>
      <w:tr w:rsidR="000C075A" w:rsidTr="002E760E">
        <w:tc>
          <w:tcPr>
            <w:tcW w:w="2835" w:type="dxa"/>
          </w:tcPr>
          <w:p w:rsidR="000C075A" w:rsidRPr="00A91404" w:rsidRDefault="000C075A" w:rsidP="000C075A">
            <w:pPr>
              <w:rPr>
                <w:rFonts w:asciiTheme="majorBidi" w:hAnsiTheme="majorBidi" w:cstheme="majorBidi"/>
                <w:sz w:val="24"/>
                <w:szCs w:val="24"/>
                <w:lang w:bidi="ar-EG"/>
              </w:rPr>
            </w:pPr>
            <w:r>
              <w:rPr>
                <w:rFonts w:asciiTheme="majorBidi" w:hAnsiTheme="majorBidi" w:cstheme="majorBidi"/>
                <w:sz w:val="24"/>
                <w:szCs w:val="24"/>
                <w:lang w:bidi="ar-EG"/>
              </w:rPr>
              <w:t>0.1</w:t>
            </w:r>
          </w:p>
        </w:tc>
        <w:tc>
          <w:tcPr>
            <w:tcW w:w="1236" w:type="dxa"/>
          </w:tcPr>
          <w:p w:rsidR="000C075A" w:rsidRPr="00A91404" w:rsidRDefault="000C075A" w:rsidP="000C075A">
            <w:pPr>
              <w:rPr>
                <w:rFonts w:asciiTheme="majorBidi" w:hAnsiTheme="majorBidi" w:cstheme="majorBidi"/>
                <w:sz w:val="24"/>
                <w:szCs w:val="24"/>
                <w:lang w:bidi="ar-EG"/>
              </w:rPr>
            </w:pPr>
            <w:r w:rsidRPr="00A91404">
              <w:rPr>
                <w:rFonts w:asciiTheme="majorBidi" w:hAnsiTheme="majorBidi" w:cstheme="majorBidi"/>
                <w:sz w:val="24"/>
                <w:szCs w:val="24"/>
                <w:lang w:bidi="ar-EG"/>
              </w:rPr>
              <w:t>UK</w:t>
            </w:r>
          </w:p>
        </w:tc>
      </w:tr>
      <w:tr w:rsidR="000C075A" w:rsidTr="002E760E">
        <w:tc>
          <w:tcPr>
            <w:tcW w:w="2835" w:type="dxa"/>
          </w:tcPr>
          <w:p w:rsidR="000C075A" w:rsidRPr="00A91404" w:rsidRDefault="000C075A" w:rsidP="000C075A">
            <w:pPr>
              <w:rPr>
                <w:rFonts w:asciiTheme="majorBidi" w:hAnsiTheme="majorBidi" w:cstheme="majorBidi"/>
                <w:sz w:val="24"/>
                <w:szCs w:val="24"/>
                <w:lang w:bidi="ar-EG"/>
              </w:rPr>
            </w:pPr>
            <w:r>
              <w:rPr>
                <w:rFonts w:asciiTheme="majorBidi" w:hAnsiTheme="majorBidi" w:cstheme="majorBidi"/>
                <w:sz w:val="24"/>
                <w:szCs w:val="24"/>
                <w:lang w:bidi="ar-EG"/>
              </w:rPr>
              <w:t>0.0483</w:t>
            </w:r>
          </w:p>
        </w:tc>
        <w:tc>
          <w:tcPr>
            <w:tcW w:w="1236" w:type="dxa"/>
          </w:tcPr>
          <w:p w:rsidR="000C075A" w:rsidRPr="00A91404" w:rsidRDefault="000C075A" w:rsidP="000C075A">
            <w:pPr>
              <w:rPr>
                <w:rFonts w:asciiTheme="majorBidi" w:hAnsiTheme="majorBidi" w:cstheme="majorBidi"/>
                <w:sz w:val="24"/>
                <w:szCs w:val="24"/>
                <w:lang w:bidi="ar-EG"/>
              </w:rPr>
            </w:pPr>
            <w:r w:rsidRPr="00A91404">
              <w:rPr>
                <w:rFonts w:asciiTheme="majorBidi" w:hAnsiTheme="majorBidi" w:cstheme="majorBidi"/>
                <w:sz w:val="24"/>
                <w:szCs w:val="24"/>
                <w:lang w:bidi="ar-EG"/>
              </w:rPr>
              <w:t>Japan</w:t>
            </w:r>
          </w:p>
        </w:tc>
      </w:tr>
      <w:tr w:rsidR="000C075A" w:rsidTr="002E760E">
        <w:tc>
          <w:tcPr>
            <w:tcW w:w="2835" w:type="dxa"/>
          </w:tcPr>
          <w:p w:rsidR="000C075A" w:rsidRPr="00A91404" w:rsidRDefault="000C075A" w:rsidP="000C075A">
            <w:pPr>
              <w:rPr>
                <w:rFonts w:asciiTheme="majorBidi" w:hAnsiTheme="majorBidi" w:cstheme="majorBidi"/>
                <w:sz w:val="24"/>
                <w:szCs w:val="24"/>
                <w:lang w:bidi="ar-EG"/>
              </w:rPr>
            </w:pPr>
            <w:r>
              <w:rPr>
                <w:rFonts w:asciiTheme="majorBidi" w:hAnsiTheme="majorBidi" w:cstheme="majorBidi"/>
                <w:sz w:val="24"/>
                <w:szCs w:val="24"/>
                <w:lang w:bidi="ar-EG"/>
              </w:rPr>
              <w:t>0.0425</w:t>
            </w:r>
          </w:p>
        </w:tc>
        <w:tc>
          <w:tcPr>
            <w:tcW w:w="1236" w:type="dxa"/>
          </w:tcPr>
          <w:p w:rsidR="000C075A" w:rsidRPr="00A91404" w:rsidRDefault="000C075A" w:rsidP="000C075A">
            <w:pPr>
              <w:rPr>
                <w:rFonts w:asciiTheme="majorBidi" w:hAnsiTheme="majorBidi" w:cstheme="majorBidi"/>
                <w:sz w:val="24"/>
                <w:szCs w:val="24"/>
                <w:lang w:bidi="ar-EG"/>
              </w:rPr>
            </w:pPr>
            <w:r w:rsidRPr="00A91404">
              <w:rPr>
                <w:rFonts w:asciiTheme="majorBidi" w:hAnsiTheme="majorBidi" w:cstheme="majorBidi"/>
                <w:sz w:val="24"/>
                <w:szCs w:val="24"/>
                <w:lang w:bidi="ar-EG"/>
              </w:rPr>
              <w:t>Australia</w:t>
            </w:r>
          </w:p>
        </w:tc>
      </w:tr>
    </w:tbl>
    <w:p w:rsidR="000C075A" w:rsidRDefault="000C075A" w:rsidP="000C075A">
      <w:pPr>
        <w:jc w:val="right"/>
        <w:rPr>
          <w:rFonts w:asciiTheme="majorBidi" w:hAnsiTheme="majorBidi" w:cstheme="majorBidi"/>
          <w:b/>
          <w:bCs/>
          <w:lang w:bidi="ar-EG"/>
        </w:rPr>
      </w:pPr>
    </w:p>
    <w:p w:rsidR="000C075A" w:rsidRDefault="000C075A" w:rsidP="00D31224">
      <w:pPr>
        <w:rPr>
          <w:rFonts w:asciiTheme="majorBidi" w:hAnsiTheme="majorBidi" w:cstheme="majorBidi"/>
          <w:b/>
          <w:bCs/>
          <w:lang w:bidi="ar-EG"/>
        </w:rPr>
      </w:pPr>
    </w:p>
    <w:p w:rsidR="00222B44" w:rsidRPr="00222B44" w:rsidRDefault="00222B44" w:rsidP="00222B44">
      <w:pPr>
        <w:rPr>
          <w:rFonts w:asciiTheme="majorBidi" w:hAnsiTheme="majorBidi" w:cstheme="majorBidi"/>
          <w:vertAlign w:val="superscript"/>
          <w:lang w:bidi="ar-EG"/>
        </w:rPr>
      </w:pPr>
      <w:r w:rsidRPr="00222B44">
        <w:rPr>
          <w:rFonts w:asciiTheme="majorBidi" w:hAnsiTheme="majorBidi" w:cstheme="majorBidi"/>
          <w:lang w:bidi="ar-EG"/>
        </w:rPr>
        <w:t>Note: the standard deviation is calculated by using this formula:</w:t>
      </w:r>
    </w:p>
    <w:p w:rsidR="00222B44" w:rsidRDefault="00222B44" w:rsidP="00222B44">
      <w:pPr>
        <w:rPr>
          <w:rFonts w:asciiTheme="majorBidi" w:hAnsiTheme="majorBidi" w:cstheme="majorBidi"/>
          <w:b/>
          <w:bCs/>
          <w:lang w:bidi="ar-EG"/>
        </w:rPr>
      </w:pPr>
    </w:p>
    <w:p w:rsidR="00222B44" w:rsidRPr="004D5F44" w:rsidRDefault="004D5F44" w:rsidP="00222B44">
      <w:pPr>
        <w:rPr>
          <w:rFonts w:asciiTheme="majorBidi" w:hAnsiTheme="majorBidi" w:cstheme="majorBidi"/>
          <w:lang w:bidi="ar-EG"/>
        </w:rPr>
      </w:pPr>
      <m:oMathPara>
        <m:oMath>
          <m:r>
            <w:rPr>
              <w:rFonts w:ascii="Cambria Math" w:hAnsi="Cambria Math" w:cstheme="majorBidi"/>
              <w:lang w:bidi="ar-EG"/>
            </w:rPr>
            <m:t>Standard deviation of IR=</m:t>
          </m:r>
          <m:rad>
            <m:radPr>
              <m:ctrlPr>
                <w:rPr>
                  <w:rFonts w:ascii="Cambria Math" w:hAnsi="Cambria Math" w:cstheme="majorBidi"/>
                  <w:i/>
                  <w:lang w:bidi="ar-EG"/>
                </w:rPr>
              </m:ctrlPr>
            </m:radPr>
            <m:deg/>
            <m:e>
              <m:f>
                <m:fPr>
                  <m:ctrlPr>
                    <w:rPr>
                      <w:rFonts w:ascii="Cambria Math" w:hAnsi="Cambria Math" w:cstheme="majorBidi"/>
                      <w:i/>
                      <w:lang w:bidi="ar-EG"/>
                    </w:rPr>
                  </m:ctrlPr>
                </m:fPr>
                <m:num>
                  <m:nary>
                    <m:naryPr>
                      <m:chr m:val="∑"/>
                      <m:limLoc m:val="undOvr"/>
                      <m:ctrlPr>
                        <w:rPr>
                          <w:rFonts w:ascii="Cambria Math" w:hAnsi="Cambria Math" w:cstheme="majorBidi"/>
                          <w:i/>
                          <w:lang w:bidi="ar-EG"/>
                        </w:rPr>
                      </m:ctrlPr>
                    </m:naryPr>
                    <m:sub>
                      <m:r>
                        <w:rPr>
                          <w:rFonts w:ascii="Cambria Math" w:hAnsi="Cambria Math" w:cstheme="majorBidi"/>
                          <w:lang w:bidi="ar-EG"/>
                        </w:rPr>
                        <m:t>t=1</m:t>
                      </m:r>
                    </m:sub>
                    <m:sup>
                      <m:r>
                        <w:rPr>
                          <w:rFonts w:ascii="Cambria Math" w:hAnsi="Cambria Math" w:cstheme="majorBidi"/>
                          <w:lang w:bidi="ar-EG"/>
                        </w:rPr>
                        <m:t>N</m:t>
                      </m:r>
                    </m:sup>
                    <m:e>
                      <m:d>
                        <m:dPr>
                          <m:ctrlPr>
                            <w:rPr>
                              <w:rFonts w:ascii="Cambria Math" w:hAnsi="Cambria Math" w:cstheme="majorBidi"/>
                              <w:i/>
                              <w:lang w:bidi="ar-EG"/>
                            </w:rPr>
                          </m:ctrlPr>
                        </m:dPr>
                        <m:e>
                          <m:r>
                            <w:rPr>
                              <w:rFonts w:ascii="Cambria Math" w:hAnsi="Cambria Math" w:cstheme="majorBidi"/>
                              <w:lang w:bidi="ar-EG"/>
                            </w:rPr>
                            <m:t xml:space="preserve"> IR-MIR</m:t>
                          </m:r>
                        </m:e>
                      </m:d>
                      <m:sPre>
                        <m:sPrePr>
                          <m:ctrlPr>
                            <w:rPr>
                              <w:rFonts w:ascii="Cambria Math" w:hAnsi="Cambria Math" w:cstheme="majorBidi"/>
                              <w:i/>
                              <w:lang w:bidi="ar-EG"/>
                            </w:rPr>
                          </m:ctrlPr>
                        </m:sPrePr>
                        <m:sub/>
                        <m:sup>
                          <m:r>
                            <w:rPr>
                              <w:rFonts w:ascii="Cambria Math" w:hAnsi="Cambria Math" w:cstheme="majorBidi"/>
                              <w:lang w:bidi="ar-EG"/>
                            </w:rPr>
                            <m:t>2</m:t>
                          </m:r>
                        </m:sup>
                        <m:e/>
                      </m:sPre>
                    </m:e>
                  </m:nary>
                </m:num>
                <m:den>
                  <m:r>
                    <w:rPr>
                      <w:rFonts w:ascii="Cambria Math" w:hAnsi="Cambria Math" w:cstheme="majorBidi"/>
                      <w:lang w:bidi="ar-EG"/>
                    </w:rPr>
                    <m:t>N</m:t>
                  </m:r>
                </m:den>
              </m:f>
            </m:e>
          </m:rad>
          <m:r>
            <w:rPr>
              <w:rFonts w:ascii="Cambria Math" w:hAnsi="Cambria Math" w:cstheme="majorBidi"/>
              <w:lang w:bidi="ar-EG"/>
            </w:rPr>
            <m:t xml:space="preserve"> </m:t>
          </m:r>
        </m:oMath>
      </m:oMathPara>
    </w:p>
    <w:p w:rsidR="00222B44" w:rsidRDefault="00222B44" w:rsidP="00222B44">
      <w:pPr>
        <w:rPr>
          <w:rFonts w:asciiTheme="majorBidi" w:hAnsiTheme="majorBidi" w:cstheme="majorBidi"/>
          <w:b/>
          <w:bCs/>
          <w:lang w:bidi="ar-EG"/>
        </w:rPr>
      </w:pPr>
    </w:p>
    <w:p w:rsidR="00222B44" w:rsidRDefault="00222B44" w:rsidP="00222B44">
      <w:pPr>
        <w:jc w:val="right"/>
        <w:rPr>
          <w:rFonts w:asciiTheme="majorBidi" w:hAnsiTheme="majorBidi" w:cstheme="majorBidi"/>
          <w:b/>
          <w:bCs/>
          <w:lang w:bidi="ar-EG"/>
        </w:rPr>
      </w:pPr>
    </w:p>
    <w:p w:rsidR="00222B44" w:rsidRDefault="00222B44" w:rsidP="00222B44">
      <w:pPr>
        <w:jc w:val="right"/>
        <w:rPr>
          <w:rFonts w:asciiTheme="majorBidi" w:hAnsiTheme="majorBidi" w:cstheme="majorBidi"/>
          <w:b/>
          <w:bCs/>
          <w:lang w:bidi="ar-EG"/>
        </w:rPr>
      </w:pPr>
    </w:p>
    <w:p w:rsidR="00222B44" w:rsidRPr="00222B44" w:rsidRDefault="00222B44" w:rsidP="00222B44">
      <w:pPr>
        <w:rPr>
          <w:rFonts w:asciiTheme="majorBidi" w:hAnsiTheme="majorBidi" w:cstheme="majorBidi"/>
          <w:lang w:bidi="ar-EG"/>
        </w:rPr>
      </w:pPr>
      <w:r w:rsidRPr="00222B44">
        <w:rPr>
          <w:rFonts w:asciiTheme="majorBidi" w:hAnsiTheme="majorBidi" w:cstheme="majorBidi"/>
          <w:lang w:bidi="ar-EG"/>
        </w:rPr>
        <w:t>N: the number of year, which in our study 39 years.</w:t>
      </w:r>
    </w:p>
    <w:p w:rsidR="00222B44" w:rsidRPr="00222B44" w:rsidRDefault="00B22A84" w:rsidP="00222B44">
      <w:pPr>
        <w:rPr>
          <w:rFonts w:asciiTheme="majorBidi" w:hAnsiTheme="majorBidi" w:cstheme="majorBidi"/>
          <w:lang w:bidi="ar-EG"/>
        </w:rPr>
      </w:pPr>
      <w:r>
        <w:rPr>
          <w:rFonts w:asciiTheme="majorBidi" w:hAnsiTheme="majorBidi" w:cstheme="majorBidi"/>
          <w:lang w:bidi="ar-EG"/>
        </w:rPr>
        <w:t>t</w:t>
      </w:r>
      <w:r w:rsidR="00222B44" w:rsidRPr="00222B44">
        <w:rPr>
          <w:rFonts w:asciiTheme="majorBidi" w:hAnsiTheme="majorBidi" w:cstheme="majorBidi"/>
          <w:lang w:bidi="ar-EG"/>
        </w:rPr>
        <w:t>: year</w:t>
      </w:r>
    </w:p>
    <w:p w:rsidR="00222B44" w:rsidRDefault="00222B44" w:rsidP="00222B44">
      <w:pPr>
        <w:rPr>
          <w:rFonts w:asciiTheme="majorBidi" w:hAnsiTheme="majorBidi" w:cstheme="majorBidi"/>
          <w:lang w:bidi="ar-EG"/>
        </w:rPr>
      </w:pPr>
      <w:r w:rsidRPr="00222B44">
        <w:rPr>
          <w:rFonts w:asciiTheme="majorBidi" w:hAnsiTheme="majorBidi" w:cstheme="majorBidi"/>
          <w:lang w:bidi="ar-EG"/>
        </w:rPr>
        <w:t>M</w:t>
      </w:r>
      <w:r>
        <w:rPr>
          <w:rFonts w:asciiTheme="majorBidi" w:hAnsiTheme="majorBidi" w:cstheme="majorBidi"/>
          <w:lang w:bidi="ar-EG"/>
        </w:rPr>
        <w:t>IR</w:t>
      </w:r>
      <w:r w:rsidRPr="00222B44">
        <w:rPr>
          <w:rFonts w:asciiTheme="majorBidi" w:hAnsiTheme="majorBidi" w:cstheme="majorBidi"/>
          <w:lang w:bidi="ar-EG"/>
        </w:rPr>
        <w:t xml:space="preserve">: the mean of </w:t>
      </w:r>
      <w:r>
        <w:rPr>
          <w:rFonts w:asciiTheme="majorBidi" w:hAnsiTheme="majorBidi" w:cstheme="majorBidi"/>
          <w:lang w:bidi="ar-EG"/>
        </w:rPr>
        <w:t>inflation rate</w:t>
      </w:r>
      <w:r w:rsidRPr="00222B44">
        <w:rPr>
          <w:rFonts w:asciiTheme="majorBidi" w:hAnsiTheme="majorBidi" w:cstheme="majorBidi"/>
          <w:lang w:bidi="ar-EG"/>
        </w:rPr>
        <w:t>.</w:t>
      </w:r>
    </w:p>
    <w:p w:rsidR="00222B44" w:rsidRDefault="00222B44" w:rsidP="00222B44">
      <w:pPr>
        <w:rPr>
          <w:rFonts w:asciiTheme="majorBidi" w:hAnsiTheme="majorBidi" w:cstheme="majorBidi"/>
          <w:b/>
          <w:bCs/>
          <w:lang w:bidi="ar-EG"/>
        </w:rPr>
      </w:pPr>
    </w:p>
    <w:p w:rsidR="000C075A" w:rsidRDefault="000C075A" w:rsidP="000C075A">
      <w:pPr>
        <w:rPr>
          <w:rFonts w:asciiTheme="majorBidi" w:hAnsiTheme="majorBidi" w:cstheme="majorBidi"/>
          <w:b/>
          <w:bCs/>
          <w:lang w:bidi="ar-EG"/>
        </w:rPr>
      </w:pPr>
      <w:r w:rsidRPr="00006D66">
        <w:rPr>
          <w:rFonts w:asciiTheme="majorBidi" w:hAnsiTheme="majorBidi" w:cstheme="majorBidi"/>
          <w:b/>
          <w:bCs/>
          <w:lang w:bidi="ar-EG"/>
        </w:rPr>
        <w:t>Table (</w:t>
      </w:r>
      <w:r>
        <w:rPr>
          <w:rFonts w:asciiTheme="majorBidi" w:hAnsiTheme="majorBidi" w:cstheme="majorBidi"/>
          <w:b/>
          <w:bCs/>
          <w:lang w:bidi="ar-EG"/>
        </w:rPr>
        <w:t>10</w:t>
      </w:r>
      <w:r w:rsidRPr="00006D66">
        <w:rPr>
          <w:rFonts w:asciiTheme="majorBidi" w:hAnsiTheme="majorBidi" w:cstheme="majorBidi"/>
          <w:b/>
          <w:bCs/>
          <w:lang w:bidi="ar-EG"/>
        </w:rPr>
        <w:t>)</w:t>
      </w:r>
      <w:r>
        <w:rPr>
          <w:rFonts w:asciiTheme="majorBidi" w:hAnsiTheme="majorBidi" w:cstheme="majorBidi"/>
          <w:b/>
          <w:bCs/>
          <w:lang w:bidi="ar-EG"/>
        </w:rPr>
        <w:t xml:space="preserve"> the standard deviation of AIR</w:t>
      </w:r>
      <w:r w:rsidRPr="00006D66">
        <w:rPr>
          <w:rFonts w:asciiTheme="majorBidi" w:hAnsiTheme="majorBidi" w:cstheme="majorBidi"/>
          <w:b/>
          <w:bCs/>
          <w:lang w:bidi="ar-EG"/>
        </w:rPr>
        <w:t>:</w:t>
      </w:r>
    </w:p>
    <w:p w:rsidR="000C075A" w:rsidRDefault="000C075A" w:rsidP="000C075A">
      <w:pPr>
        <w:jc w:val="right"/>
        <w:rPr>
          <w:rFonts w:asciiTheme="majorBidi" w:hAnsiTheme="majorBidi" w:cstheme="majorBidi"/>
          <w:b/>
          <w:bCs/>
          <w:lang w:bidi="ar-EG"/>
        </w:rPr>
      </w:pPr>
    </w:p>
    <w:tbl>
      <w:tblPr>
        <w:tblStyle w:val="TableGrid"/>
        <w:bidiVisual/>
        <w:tblW w:w="0" w:type="auto"/>
        <w:tblInd w:w="4167" w:type="dxa"/>
        <w:tblLook w:val="04A0"/>
      </w:tblPr>
      <w:tblGrid>
        <w:gridCol w:w="2977"/>
        <w:gridCol w:w="1378"/>
      </w:tblGrid>
      <w:tr w:rsidR="000C075A" w:rsidTr="002E760E">
        <w:tc>
          <w:tcPr>
            <w:tcW w:w="2977" w:type="dxa"/>
          </w:tcPr>
          <w:p w:rsidR="000C075A" w:rsidRDefault="000C075A" w:rsidP="000C075A">
            <w:pPr>
              <w:rPr>
                <w:rFonts w:asciiTheme="majorBidi" w:hAnsiTheme="majorBidi" w:cstheme="majorBidi"/>
                <w:b/>
                <w:bCs/>
                <w:sz w:val="24"/>
                <w:szCs w:val="24"/>
                <w:lang w:bidi="ar-EG"/>
              </w:rPr>
            </w:pPr>
            <w:r>
              <w:rPr>
                <w:rFonts w:asciiTheme="majorBidi" w:hAnsiTheme="majorBidi" w:cstheme="majorBidi"/>
                <w:b/>
                <w:bCs/>
                <w:sz w:val="24"/>
                <w:szCs w:val="24"/>
                <w:lang w:bidi="ar-EG"/>
              </w:rPr>
              <w:t>Standard deviation of AIR</w:t>
            </w:r>
          </w:p>
        </w:tc>
        <w:tc>
          <w:tcPr>
            <w:tcW w:w="1378" w:type="dxa"/>
          </w:tcPr>
          <w:p w:rsidR="000C075A" w:rsidRDefault="000C075A" w:rsidP="000C075A">
            <w:pPr>
              <w:rPr>
                <w:rFonts w:asciiTheme="majorBidi" w:hAnsiTheme="majorBidi" w:cstheme="majorBidi"/>
                <w:b/>
                <w:bCs/>
                <w:sz w:val="24"/>
                <w:szCs w:val="24"/>
                <w:lang w:bidi="ar-EG"/>
              </w:rPr>
            </w:pPr>
            <w:r>
              <w:rPr>
                <w:rFonts w:asciiTheme="majorBidi" w:hAnsiTheme="majorBidi" w:cstheme="majorBidi"/>
                <w:b/>
                <w:bCs/>
                <w:sz w:val="24"/>
                <w:szCs w:val="24"/>
                <w:lang w:bidi="ar-EG"/>
              </w:rPr>
              <w:t>County</w:t>
            </w:r>
          </w:p>
        </w:tc>
      </w:tr>
      <w:tr w:rsidR="000C075A" w:rsidTr="002E760E">
        <w:tc>
          <w:tcPr>
            <w:tcW w:w="2977" w:type="dxa"/>
          </w:tcPr>
          <w:p w:rsidR="000C075A" w:rsidRPr="00A91404" w:rsidRDefault="000C075A" w:rsidP="000C075A">
            <w:pPr>
              <w:rPr>
                <w:rFonts w:asciiTheme="majorBidi" w:hAnsiTheme="majorBidi" w:cstheme="majorBidi"/>
                <w:sz w:val="24"/>
                <w:szCs w:val="24"/>
                <w:lang w:bidi="ar-EG"/>
              </w:rPr>
            </w:pPr>
            <w:r>
              <w:rPr>
                <w:rFonts w:asciiTheme="majorBidi" w:hAnsiTheme="majorBidi" w:cstheme="majorBidi"/>
                <w:sz w:val="24"/>
                <w:szCs w:val="24"/>
                <w:lang w:bidi="ar-EG"/>
              </w:rPr>
              <w:t>0.1966</w:t>
            </w:r>
          </w:p>
        </w:tc>
        <w:tc>
          <w:tcPr>
            <w:tcW w:w="1378" w:type="dxa"/>
          </w:tcPr>
          <w:p w:rsidR="000C075A" w:rsidRPr="00A91404" w:rsidRDefault="000C075A" w:rsidP="000C075A">
            <w:pPr>
              <w:rPr>
                <w:rFonts w:asciiTheme="majorBidi" w:hAnsiTheme="majorBidi" w:cstheme="majorBidi"/>
                <w:sz w:val="24"/>
                <w:szCs w:val="24"/>
                <w:lang w:bidi="ar-EG"/>
              </w:rPr>
            </w:pPr>
            <w:r w:rsidRPr="00A91404">
              <w:rPr>
                <w:rFonts w:asciiTheme="majorBidi" w:hAnsiTheme="majorBidi" w:cstheme="majorBidi"/>
                <w:sz w:val="24"/>
                <w:szCs w:val="24"/>
                <w:lang w:bidi="ar-EG"/>
              </w:rPr>
              <w:t>USA</w:t>
            </w:r>
          </w:p>
        </w:tc>
      </w:tr>
      <w:tr w:rsidR="000C075A" w:rsidTr="002E760E">
        <w:tc>
          <w:tcPr>
            <w:tcW w:w="2977" w:type="dxa"/>
          </w:tcPr>
          <w:p w:rsidR="000C075A" w:rsidRPr="00A91404" w:rsidRDefault="000C075A" w:rsidP="000C075A">
            <w:pPr>
              <w:rPr>
                <w:rFonts w:asciiTheme="majorBidi" w:hAnsiTheme="majorBidi" w:cstheme="majorBidi"/>
                <w:sz w:val="24"/>
                <w:szCs w:val="24"/>
                <w:lang w:bidi="ar-EG"/>
              </w:rPr>
            </w:pPr>
            <w:r>
              <w:rPr>
                <w:rFonts w:asciiTheme="majorBidi" w:hAnsiTheme="majorBidi" w:cstheme="majorBidi"/>
                <w:sz w:val="24"/>
                <w:szCs w:val="24"/>
                <w:lang w:bidi="ar-EG"/>
              </w:rPr>
              <w:t>0.1747</w:t>
            </w:r>
          </w:p>
        </w:tc>
        <w:tc>
          <w:tcPr>
            <w:tcW w:w="1378" w:type="dxa"/>
          </w:tcPr>
          <w:p w:rsidR="000C075A" w:rsidRPr="00A91404" w:rsidRDefault="000C075A" w:rsidP="000C075A">
            <w:pPr>
              <w:rPr>
                <w:rFonts w:asciiTheme="majorBidi" w:hAnsiTheme="majorBidi" w:cstheme="majorBidi"/>
                <w:sz w:val="24"/>
                <w:szCs w:val="24"/>
                <w:lang w:bidi="ar-EG"/>
              </w:rPr>
            </w:pPr>
            <w:r w:rsidRPr="00A91404">
              <w:rPr>
                <w:rFonts w:asciiTheme="majorBidi" w:hAnsiTheme="majorBidi" w:cstheme="majorBidi"/>
                <w:sz w:val="24"/>
                <w:szCs w:val="24"/>
                <w:lang w:bidi="ar-EG"/>
              </w:rPr>
              <w:t>UK</w:t>
            </w:r>
          </w:p>
        </w:tc>
      </w:tr>
      <w:tr w:rsidR="000C075A" w:rsidTr="002E760E">
        <w:tc>
          <w:tcPr>
            <w:tcW w:w="2977" w:type="dxa"/>
          </w:tcPr>
          <w:p w:rsidR="000C075A" w:rsidRPr="00A91404" w:rsidRDefault="000C075A" w:rsidP="000C075A">
            <w:pPr>
              <w:rPr>
                <w:rFonts w:asciiTheme="majorBidi" w:hAnsiTheme="majorBidi" w:cstheme="majorBidi"/>
                <w:sz w:val="24"/>
                <w:szCs w:val="24"/>
                <w:lang w:bidi="ar-EG"/>
              </w:rPr>
            </w:pPr>
            <w:r>
              <w:rPr>
                <w:rFonts w:asciiTheme="majorBidi" w:hAnsiTheme="majorBidi" w:cstheme="majorBidi"/>
                <w:sz w:val="24"/>
                <w:szCs w:val="24"/>
                <w:lang w:bidi="ar-EG"/>
              </w:rPr>
              <w:t>0.199</w:t>
            </w:r>
          </w:p>
        </w:tc>
        <w:tc>
          <w:tcPr>
            <w:tcW w:w="1378" w:type="dxa"/>
          </w:tcPr>
          <w:p w:rsidR="000C075A" w:rsidRPr="00A91404" w:rsidRDefault="000C075A" w:rsidP="000C075A">
            <w:pPr>
              <w:rPr>
                <w:rFonts w:asciiTheme="majorBidi" w:hAnsiTheme="majorBidi" w:cstheme="majorBidi"/>
                <w:sz w:val="24"/>
                <w:szCs w:val="24"/>
                <w:lang w:bidi="ar-EG"/>
              </w:rPr>
            </w:pPr>
            <w:r w:rsidRPr="00A91404">
              <w:rPr>
                <w:rFonts w:asciiTheme="majorBidi" w:hAnsiTheme="majorBidi" w:cstheme="majorBidi"/>
                <w:sz w:val="24"/>
                <w:szCs w:val="24"/>
                <w:lang w:bidi="ar-EG"/>
              </w:rPr>
              <w:t>Japan</w:t>
            </w:r>
          </w:p>
        </w:tc>
      </w:tr>
      <w:tr w:rsidR="000C075A" w:rsidTr="002E760E">
        <w:tc>
          <w:tcPr>
            <w:tcW w:w="2977" w:type="dxa"/>
          </w:tcPr>
          <w:p w:rsidR="000C075A" w:rsidRPr="00A91404" w:rsidRDefault="000C075A" w:rsidP="000C075A">
            <w:pPr>
              <w:rPr>
                <w:rFonts w:asciiTheme="majorBidi" w:hAnsiTheme="majorBidi" w:cstheme="majorBidi"/>
                <w:sz w:val="24"/>
                <w:szCs w:val="24"/>
                <w:lang w:bidi="ar-EG"/>
              </w:rPr>
            </w:pPr>
            <w:r>
              <w:rPr>
                <w:rFonts w:asciiTheme="majorBidi" w:hAnsiTheme="majorBidi" w:cstheme="majorBidi"/>
                <w:sz w:val="24"/>
                <w:szCs w:val="24"/>
                <w:lang w:bidi="ar-EG"/>
              </w:rPr>
              <w:t>0.186</w:t>
            </w:r>
          </w:p>
        </w:tc>
        <w:tc>
          <w:tcPr>
            <w:tcW w:w="1378" w:type="dxa"/>
          </w:tcPr>
          <w:p w:rsidR="000C075A" w:rsidRPr="00A91404" w:rsidRDefault="000C075A" w:rsidP="000C075A">
            <w:pPr>
              <w:rPr>
                <w:rFonts w:asciiTheme="majorBidi" w:hAnsiTheme="majorBidi" w:cstheme="majorBidi"/>
                <w:sz w:val="24"/>
                <w:szCs w:val="24"/>
                <w:lang w:bidi="ar-EG"/>
              </w:rPr>
            </w:pPr>
            <w:r w:rsidRPr="00A91404">
              <w:rPr>
                <w:rFonts w:asciiTheme="majorBidi" w:hAnsiTheme="majorBidi" w:cstheme="majorBidi"/>
                <w:sz w:val="24"/>
                <w:szCs w:val="24"/>
                <w:lang w:bidi="ar-EG"/>
              </w:rPr>
              <w:t>Australia</w:t>
            </w:r>
          </w:p>
        </w:tc>
      </w:tr>
    </w:tbl>
    <w:p w:rsidR="000C075A" w:rsidRPr="00EB1A2B" w:rsidRDefault="000C075A" w:rsidP="000C075A">
      <w:pPr>
        <w:jc w:val="right"/>
        <w:rPr>
          <w:rFonts w:asciiTheme="majorBidi" w:hAnsiTheme="majorBidi" w:cstheme="majorBidi"/>
          <w:b/>
          <w:bCs/>
          <w:rtl/>
          <w:lang w:bidi="ar-EG"/>
        </w:rPr>
      </w:pPr>
    </w:p>
    <w:p w:rsidR="00222B44" w:rsidRPr="00222B44" w:rsidRDefault="00222B44" w:rsidP="00222B44">
      <w:pPr>
        <w:rPr>
          <w:rFonts w:asciiTheme="majorBidi" w:hAnsiTheme="majorBidi" w:cstheme="majorBidi"/>
          <w:vertAlign w:val="superscript"/>
          <w:lang w:bidi="ar-EG"/>
        </w:rPr>
      </w:pPr>
      <w:r w:rsidRPr="00222B44">
        <w:rPr>
          <w:rFonts w:asciiTheme="majorBidi" w:hAnsiTheme="majorBidi" w:cstheme="majorBidi"/>
          <w:lang w:bidi="ar-EG"/>
        </w:rPr>
        <w:t>Note: the standard deviation is calculated by using this formula:</w:t>
      </w:r>
    </w:p>
    <w:p w:rsidR="00222B44" w:rsidRDefault="00222B44" w:rsidP="00222B44">
      <w:pPr>
        <w:rPr>
          <w:rFonts w:asciiTheme="majorBidi" w:hAnsiTheme="majorBidi" w:cstheme="majorBidi"/>
          <w:b/>
          <w:bCs/>
          <w:lang w:bidi="ar-EG"/>
        </w:rPr>
      </w:pPr>
    </w:p>
    <w:p w:rsidR="00222B44" w:rsidRPr="004D5F44" w:rsidRDefault="004D5F44" w:rsidP="00222B44">
      <w:pPr>
        <w:rPr>
          <w:rFonts w:asciiTheme="majorBidi" w:hAnsiTheme="majorBidi" w:cstheme="majorBidi"/>
          <w:lang w:bidi="ar-EG"/>
        </w:rPr>
      </w:pPr>
      <m:oMathPara>
        <m:oMath>
          <m:r>
            <w:rPr>
              <w:rFonts w:ascii="Cambria Math" w:hAnsi="Cambria Math" w:cstheme="majorBidi"/>
              <w:lang w:bidi="ar-EG"/>
            </w:rPr>
            <m:t>Standard deviation of AIR=</m:t>
          </m:r>
          <m:rad>
            <m:radPr>
              <m:ctrlPr>
                <w:rPr>
                  <w:rFonts w:ascii="Cambria Math" w:hAnsi="Cambria Math" w:cstheme="majorBidi"/>
                  <w:i/>
                  <w:lang w:bidi="ar-EG"/>
                </w:rPr>
              </m:ctrlPr>
            </m:radPr>
            <m:deg/>
            <m:e>
              <m:f>
                <m:fPr>
                  <m:ctrlPr>
                    <w:rPr>
                      <w:rFonts w:ascii="Cambria Math" w:hAnsi="Cambria Math" w:cstheme="majorBidi"/>
                      <w:i/>
                      <w:lang w:bidi="ar-EG"/>
                    </w:rPr>
                  </m:ctrlPr>
                </m:fPr>
                <m:num>
                  <m:nary>
                    <m:naryPr>
                      <m:chr m:val="∑"/>
                      <m:limLoc m:val="undOvr"/>
                      <m:ctrlPr>
                        <w:rPr>
                          <w:rFonts w:ascii="Cambria Math" w:hAnsi="Cambria Math" w:cstheme="majorBidi"/>
                          <w:i/>
                          <w:lang w:bidi="ar-EG"/>
                        </w:rPr>
                      </m:ctrlPr>
                    </m:naryPr>
                    <m:sub>
                      <m:r>
                        <w:rPr>
                          <w:rFonts w:ascii="Cambria Math" w:hAnsi="Cambria Math" w:cstheme="majorBidi"/>
                          <w:lang w:bidi="ar-EG"/>
                        </w:rPr>
                        <m:t>t=1</m:t>
                      </m:r>
                    </m:sub>
                    <m:sup>
                      <m:r>
                        <w:rPr>
                          <w:rFonts w:ascii="Cambria Math" w:hAnsi="Cambria Math" w:cstheme="majorBidi"/>
                          <w:lang w:bidi="ar-EG"/>
                        </w:rPr>
                        <m:t>N</m:t>
                      </m:r>
                    </m:sup>
                    <m:e>
                      <m:d>
                        <m:dPr>
                          <m:ctrlPr>
                            <w:rPr>
                              <w:rFonts w:ascii="Cambria Math" w:hAnsi="Cambria Math" w:cstheme="majorBidi"/>
                              <w:i/>
                              <w:lang w:bidi="ar-EG"/>
                            </w:rPr>
                          </m:ctrlPr>
                        </m:dPr>
                        <m:e>
                          <m:r>
                            <w:rPr>
                              <w:rFonts w:ascii="Cambria Math" w:hAnsi="Cambria Math" w:cstheme="majorBidi"/>
                              <w:lang w:bidi="ar-EG"/>
                            </w:rPr>
                            <m:t>AIR-MAIR</m:t>
                          </m:r>
                        </m:e>
                      </m:d>
                      <m:sPre>
                        <m:sPrePr>
                          <m:ctrlPr>
                            <w:rPr>
                              <w:rFonts w:ascii="Cambria Math" w:hAnsi="Cambria Math" w:cstheme="majorBidi"/>
                              <w:i/>
                              <w:lang w:bidi="ar-EG"/>
                            </w:rPr>
                          </m:ctrlPr>
                        </m:sPrePr>
                        <m:sub/>
                        <m:sup>
                          <m:r>
                            <w:rPr>
                              <w:rFonts w:ascii="Cambria Math" w:hAnsi="Cambria Math" w:cstheme="majorBidi"/>
                              <w:lang w:bidi="ar-EG"/>
                            </w:rPr>
                            <m:t>2</m:t>
                          </m:r>
                        </m:sup>
                        <m:e/>
                      </m:sPre>
                    </m:e>
                  </m:nary>
                </m:num>
                <m:den>
                  <m:r>
                    <w:rPr>
                      <w:rFonts w:ascii="Cambria Math" w:hAnsi="Cambria Math" w:cstheme="majorBidi"/>
                      <w:lang w:bidi="ar-EG"/>
                    </w:rPr>
                    <m:t>N</m:t>
                  </m:r>
                </m:den>
              </m:f>
            </m:e>
          </m:rad>
          <m:r>
            <w:rPr>
              <w:rFonts w:ascii="Cambria Math" w:hAnsi="Cambria Math" w:cstheme="majorBidi"/>
              <w:lang w:bidi="ar-EG"/>
            </w:rPr>
            <m:t xml:space="preserve"> </m:t>
          </m:r>
        </m:oMath>
      </m:oMathPara>
    </w:p>
    <w:p w:rsidR="00222B44" w:rsidRDefault="00222B44" w:rsidP="00222B44">
      <w:pPr>
        <w:rPr>
          <w:rFonts w:asciiTheme="majorBidi" w:hAnsiTheme="majorBidi" w:cstheme="majorBidi"/>
          <w:b/>
          <w:bCs/>
          <w:lang w:bidi="ar-EG"/>
        </w:rPr>
      </w:pPr>
    </w:p>
    <w:p w:rsidR="00222B44" w:rsidRDefault="00222B44" w:rsidP="00222B44">
      <w:pPr>
        <w:jc w:val="right"/>
        <w:rPr>
          <w:rFonts w:asciiTheme="majorBidi" w:hAnsiTheme="majorBidi" w:cstheme="majorBidi"/>
          <w:b/>
          <w:bCs/>
          <w:lang w:bidi="ar-EG"/>
        </w:rPr>
      </w:pPr>
    </w:p>
    <w:p w:rsidR="00222B44" w:rsidRDefault="00222B44" w:rsidP="00222B44">
      <w:pPr>
        <w:jc w:val="right"/>
        <w:rPr>
          <w:rFonts w:asciiTheme="majorBidi" w:hAnsiTheme="majorBidi" w:cstheme="majorBidi"/>
          <w:b/>
          <w:bCs/>
          <w:lang w:bidi="ar-EG"/>
        </w:rPr>
      </w:pPr>
    </w:p>
    <w:p w:rsidR="00222B44" w:rsidRPr="00222B44" w:rsidRDefault="00222B44" w:rsidP="00222B44">
      <w:pPr>
        <w:rPr>
          <w:rFonts w:asciiTheme="majorBidi" w:hAnsiTheme="majorBidi" w:cstheme="majorBidi"/>
          <w:lang w:bidi="ar-EG"/>
        </w:rPr>
      </w:pPr>
      <w:r w:rsidRPr="00222B44">
        <w:rPr>
          <w:rFonts w:asciiTheme="majorBidi" w:hAnsiTheme="majorBidi" w:cstheme="majorBidi"/>
          <w:lang w:bidi="ar-EG"/>
        </w:rPr>
        <w:t>N: the number of year, which in our study 39 years.</w:t>
      </w:r>
    </w:p>
    <w:p w:rsidR="00222B44" w:rsidRPr="00222B44" w:rsidRDefault="00B22A84" w:rsidP="00222B44">
      <w:pPr>
        <w:rPr>
          <w:rFonts w:asciiTheme="majorBidi" w:hAnsiTheme="majorBidi" w:cstheme="majorBidi"/>
          <w:lang w:bidi="ar-EG"/>
        </w:rPr>
      </w:pPr>
      <w:r>
        <w:rPr>
          <w:rFonts w:asciiTheme="majorBidi" w:hAnsiTheme="majorBidi" w:cstheme="majorBidi"/>
          <w:lang w:bidi="ar-EG"/>
        </w:rPr>
        <w:t>t</w:t>
      </w:r>
      <w:r w:rsidR="00222B44" w:rsidRPr="00222B44">
        <w:rPr>
          <w:rFonts w:asciiTheme="majorBidi" w:hAnsiTheme="majorBidi" w:cstheme="majorBidi"/>
          <w:lang w:bidi="ar-EG"/>
        </w:rPr>
        <w:t>: year</w:t>
      </w:r>
    </w:p>
    <w:p w:rsidR="00222B44" w:rsidRDefault="00260798" w:rsidP="00222B44">
      <w:pPr>
        <w:rPr>
          <w:rFonts w:asciiTheme="majorBidi" w:hAnsiTheme="majorBidi" w:cstheme="majorBidi"/>
          <w:lang w:bidi="ar-EG"/>
        </w:rPr>
      </w:pPr>
      <w:r>
        <w:rPr>
          <w:rFonts w:asciiTheme="majorBidi" w:hAnsiTheme="majorBidi" w:cstheme="majorBidi"/>
          <w:lang w:bidi="ar-EG"/>
        </w:rPr>
        <w:t>M</w:t>
      </w:r>
      <w:r w:rsidR="00222B44">
        <w:rPr>
          <w:rFonts w:asciiTheme="majorBidi" w:hAnsiTheme="majorBidi" w:cstheme="majorBidi"/>
          <w:lang w:bidi="ar-EG"/>
        </w:rPr>
        <w:t>AIR: the</w:t>
      </w:r>
      <w:r>
        <w:rPr>
          <w:rFonts w:asciiTheme="majorBidi" w:hAnsiTheme="majorBidi" w:cstheme="majorBidi"/>
          <w:lang w:bidi="ar-EG"/>
        </w:rPr>
        <w:t xml:space="preserve"> mean of </w:t>
      </w:r>
      <w:r w:rsidR="00222B44">
        <w:rPr>
          <w:rFonts w:asciiTheme="majorBidi" w:hAnsiTheme="majorBidi" w:cstheme="majorBidi"/>
          <w:lang w:bidi="ar-EG"/>
        </w:rPr>
        <w:t>adjusted inflation rate</w:t>
      </w:r>
      <w:r w:rsidR="00222B44" w:rsidRPr="00222B44">
        <w:rPr>
          <w:rFonts w:asciiTheme="majorBidi" w:hAnsiTheme="majorBidi" w:cstheme="majorBidi"/>
          <w:lang w:bidi="ar-EG"/>
        </w:rPr>
        <w:t>.</w:t>
      </w:r>
    </w:p>
    <w:p w:rsidR="00D31224" w:rsidRPr="00D31224" w:rsidRDefault="00D31224" w:rsidP="00D31224">
      <w:pPr>
        <w:rPr>
          <w:rFonts w:asciiTheme="majorBidi" w:hAnsiTheme="majorBidi" w:cstheme="majorBidi"/>
          <w:b/>
          <w:bCs/>
          <w:lang w:bidi="ar-EG"/>
        </w:rPr>
      </w:pPr>
    </w:p>
    <w:p w:rsidR="00A50B08" w:rsidRPr="000C075A" w:rsidRDefault="00A50B08" w:rsidP="000C075A">
      <w:pPr>
        <w:spacing w:line="480" w:lineRule="auto"/>
        <w:rPr>
          <w:rFonts w:asciiTheme="majorBidi" w:hAnsiTheme="majorBidi" w:cstheme="majorBidi"/>
        </w:rPr>
      </w:pPr>
    </w:p>
    <w:sectPr w:rsidR="00A50B08" w:rsidRPr="000C075A" w:rsidSect="00BA60CD">
      <w:headerReference w:type="default" r:id="rId65"/>
      <w:pgSz w:w="11906" w:h="16838" w:code="9"/>
      <w:pgMar w:top="1440" w:right="1797"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FC5" w:rsidRDefault="00DB0FC5" w:rsidP="00270EA0">
      <w:r>
        <w:separator/>
      </w:r>
    </w:p>
  </w:endnote>
  <w:endnote w:type="continuationSeparator" w:id="1">
    <w:p w:rsidR="00DB0FC5" w:rsidRDefault="00DB0FC5" w:rsidP="00270E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ndalus">
    <w:panose1 w:val="02010000000000000000"/>
    <w:charset w:val="B2"/>
    <w:family w:val="auto"/>
    <w:pitch w:val="variable"/>
    <w:sig w:usb0="00002001" w:usb1="00000000" w:usb2="00000000" w:usb3="00000000" w:csb0="00000040" w:csb1="00000000"/>
  </w:font>
  <w:font w:name="CMR12">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 w:name="CMSY1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FC5" w:rsidRDefault="00DB0FC5" w:rsidP="00270EA0">
      <w:r>
        <w:separator/>
      </w:r>
    </w:p>
  </w:footnote>
  <w:footnote w:type="continuationSeparator" w:id="1">
    <w:p w:rsidR="00DB0FC5" w:rsidRDefault="00DB0FC5" w:rsidP="00270E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76"/>
      <w:gridCol w:w="1152"/>
    </w:tblGrid>
    <w:tr w:rsidR="00665923">
      <w:tc>
        <w:tcPr>
          <w:tcW w:w="0" w:type="auto"/>
          <w:tcBorders>
            <w:right w:val="single" w:sz="6" w:space="0" w:color="000000" w:themeColor="text1"/>
          </w:tcBorders>
        </w:tcPr>
        <w:p w:rsidR="00665923" w:rsidRDefault="00665923" w:rsidP="00BA60CD">
          <w:pPr>
            <w:pStyle w:val="Header"/>
            <w:jc w:val="right"/>
            <w:rPr>
              <w:sz w:val="24"/>
              <w:szCs w:val="24"/>
            </w:rPr>
          </w:pPr>
          <w:r>
            <w:rPr>
              <w:sz w:val="24"/>
              <w:szCs w:val="24"/>
            </w:rPr>
            <w:t xml:space="preserve">GOLD, FIAT MONEY AND PRICE STABILITY </w:t>
          </w:r>
        </w:p>
        <w:p w:rsidR="00665923" w:rsidRPr="00BA60CD" w:rsidRDefault="00665923" w:rsidP="00BA60CD">
          <w:pPr>
            <w:pStyle w:val="Header"/>
            <w:jc w:val="right"/>
            <w:rPr>
              <w:sz w:val="24"/>
              <w:szCs w:val="24"/>
            </w:rPr>
          </w:pPr>
          <w:r>
            <w:rPr>
              <w:sz w:val="24"/>
              <w:szCs w:val="24"/>
            </w:rPr>
            <w:t>IN FOUR ADVANCED COUNTRIES</w:t>
          </w:r>
        </w:p>
        <w:p w:rsidR="00665923" w:rsidRDefault="00665923" w:rsidP="00BA60CD">
          <w:pPr>
            <w:pStyle w:val="Header"/>
            <w:jc w:val="center"/>
            <w:rPr>
              <w:b/>
              <w:bCs/>
            </w:rPr>
          </w:pPr>
        </w:p>
      </w:tc>
      <w:tc>
        <w:tcPr>
          <w:tcW w:w="1152" w:type="dxa"/>
          <w:tcBorders>
            <w:left w:val="single" w:sz="6" w:space="0" w:color="000000" w:themeColor="text1"/>
          </w:tcBorders>
        </w:tcPr>
        <w:p w:rsidR="00665923" w:rsidRDefault="00E638C0">
          <w:pPr>
            <w:pStyle w:val="Header"/>
            <w:rPr>
              <w:b/>
            </w:rPr>
          </w:pPr>
          <w:fldSimple w:instr=" PAGE   \* MERGEFORMAT ">
            <w:r w:rsidR="000E3348">
              <w:rPr>
                <w:noProof/>
              </w:rPr>
              <w:t>56</w:t>
            </w:r>
          </w:fldSimple>
        </w:p>
      </w:tc>
    </w:tr>
  </w:tbl>
  <w:p w:rsidR="00665923" w:rsidRDefault="00665923" w:rsidP="00BA60C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A9A"/>
    <w:multiLevelType w:val="hybridMultilevel"/>
    <w:tmpl w:val="A91C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85758"/>
    <w:multiLevelType w:val="hybridMultilevel"/>
    <w:tmpl w:val="878EF332"/>
    <w:lvl w:ilvl="0" w:tplc="8BF47E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E6A88"/>
    <w:multiLevelType w:val="hybridMultilevel"/>
    <w:tmpl w:val="4BDCC0C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7D4BCC"/>
    <w:multiLevelType w:val="multilevel"/>
    <w:tmpl w:val="13D4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409BA"/>
    <w:multiLevelType w:val="hybridMultilevel"/>
    <w:tmpl w:val="EAE867E4"/>
    <w:lvl w:ilvl="0" w:tplc="D47C5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E87295"/>
    <w:multiLevelType w:val="hybridMultilevel"/>
    <w:tmpl w:val="87BA7214"/>
    <w:lvl w:ilvl="0" w:tplc="72361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1574F"/>
    <w:multiLevelType w:val="hybridMultilevel"/>
    <w:tmpl w:val="68866FE6"/>
    <w:lvl w:ilvl="0" w:tplc="45AC2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7E2272"/>
    <w:multiLevelType w:val="hybridMultilevel"/>
    <w:tmpl w:val="F0F450AA"/>
    <w:lvl w:ilvl="0" w:tplc="D7CA1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E1909"/>
    <w:multiLevelType w:val="hybridMultilevel"/>
    <w:tmpl w:val="87BA7214"/>
    <w:lvl w:ilvl="0" w:tplc="72361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05643"/>
    <w:multiLevelType w:val="hybridMultilevel"/>
    <w:tmpl w:val="D9AC3BDC"/>
    <w:lvl w:ilvl="0" w:tplc="55C01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9A1AF6"/>
    <w:multiLevelType w:val="hybridMultilevel"/>
    <w:tmpl w:val="BCEC5BAA"/>
    <w:lvl w:ilvl="0" w:tplc="B99E6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CF5E5E"/>
    <w:multiLevelType w:val="hybridMultilevel"/>
    <w:tmpl w:val="AB6CBEE0"/>
    <w:lvl w:ilvl="0" w:tplc="AB125B2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6C6AF5"/>
    <w:multiLevelType w:val="hybridMultilevel"/>
    <w:tmpl w:val="69ECF172"/>
    <w:lvl w:ilvl="0" w:tplc="A0E29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766957"/>
    <w:multiLevelType w:val="hybridMultilevel"/>
    <w:tmpl w:val="FB5232F4"/>
    <w:lvl w:ilvl="0" w:tplc="20943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D82377"/>
    <w:multiLevelType w:val="hybridMultilevel"/>
    <w:tmpl w:val="58AC37DA"/>
    <w:lvl w:ilvl="0" w:tplc="F9A4D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EE248F"/>
    <w:multiLevelType w:val="hybridMultilevel"/>
    <w:tmpl w:val="06E60436"/>
    <w:lvl w:ilvl="0" w:tplc="FA0EA64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CC627FB"/>
    <w:multiLevelType w:val="hybridMultilevel"/>
    <w:tmpl w:val="87BA7214"/>
    <w:lvl w:ilvl="0" w:tplc="72361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
  </w:num>
  <w:num w:numId="4">
    <w:abstractNumId w:val="10"/>
  </w:num>
  <w:num w:numId="5">
    <w:abstractNumId w:val="3"/>
  </w:num>
  <w:num w:numId="6">
    <w:abstractNumId w:val="5"/>
  </w:num>
  <w:num w:numId="7">
    <w:abstractNumId w:val="8"/>
  </w:num>
  <w:num w:numId="8">
    <w:abstractNumId w:val="0"/>
  </w:num>
  <w:num w:numId="9">
    <w:abstractNumId w:val="12"/>
  </w:num>
  <w:num w:numId="10">
    <w:abstractNumId w:val="13"/>
  </w:num>
  <w:num w:numId="11">
    <w:abstractNumId w:val="4"/>
  </w:num>
  <w:num w:numId="12">
    <w:abstractNumId w:val="9"/>
  </w:num>
  <w:num w:numId="13">
    <w:abstractNumId w:val="11"/>
  </w:num>
  <w:num w:numId="14">
    <w:abstractNumId w:val="15"/>
  </w:num>
  <w:num w:numId="15">
    <w:abstractNumId w:val="16"/>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D7546"/>
    <w:rsid w:val="000047A4"/>
    <w:rsid w:val="00005726"/>
    <w:rsid w:val="00015923"/>
    <w:rsid w:val="00015BFC"/>
    <w:rsid w:val="0002294B"/>
    <w:rsid w:val="000308B9"/>
    <w:rsid w:val="000351DF"/>
    <w:rsid w:val="0005027B"/>
    <w:rsid w:val="00053C5F"/>
    <w:rsid w:val="00053D1B"/>
    <w:rsid w:val="00057411"/>
    <w:rsid w:val="00062449"/>
    <w:rsid w:val="00067674"/>
    <w:rsid w:val="00071B3D"/>
    <w:rsid w:val="0009630B"/>
    <w:rsid w:val="000968D6"/>
    <w:rsid w:val="000A05E2"/>
    <w:rsid w:val="000A31FE"/>
    <w:rsid w:val="000B3F6E"/>
    <w:rsid w:val="000C075A"/>
    <w:rsid w:val="000D063B"/>
    <w:rsid w:val="000D0EFF"/>
    <w:rsid w:val="000D7546"/>
    <w:rsid w:val="000E07EE"/>
    <w:rsid w:val="000E3348"/>
    <w:rsid w:val="000F4CBC"/>
    <w:rsid w:val="001012C7"/>
    <w:rsid w:val="001017CC"/>
    <w:rsid w:val="0010422B"/>
    <w:rsid w:val="00114200"/>
    <w:rsid w:val="00122504"/>
    <w:rsid w:val="00130655"/>
    <w:rsid w:val="001324F1"/>
    <w:rsid w:val="00132634"/>
    <w:rsid w:val="00132BC4"/>
    <w:rsid w:val="00140859"/>
    <w:rsid w:val="0014354D"/>
    <w:rsid w:val="00156DB9"/>
    <w:rsid w:val="00162FA0"/>
    <w:rsid w:val="0016427E"/>
    <w:rsid w:val="00172BCF"/>
    <w:rsid w:val="001771EB"/>
    <w:rsid w:val="0017729D"/>
    <w:rsid w:val="0018098B"/>
    <w:rsid w:val="0018753A"/>
    <w:rsid w:val="001A216F"/>
    <w:rsid w:val="001B26A2"/>
    <w:rsid w:val="001C73F5"/>
    <w:rsid w:val="001D04D2"/>
    <w:rsid w:val="001D0AA1"/>
    <w:rsid w:val="001D2567"/>
    <w:rsid w:val="001E29D6"/>
    <w:rsid w:val="002015F8"/>
    <w:rsid w:val="00201E4A"/>
    <w:rsid w:val="0020439C"/>
    <w:rsid w:val="00222B44"/>
    <w:rsid w:val="002273C5"/>
    <w:rsid w:val="00230B95"/>
    <w:rsid w:val="00236310"/>
    <w:rsid w:val="00240D70"/>
    <w:rsid w:val="002556C0"/>
    <w:rsid w:val="00260798"/>
    <w:rsid w:val="00260F23"/>
    <w:rsid w:val="00262D12"/>
    <w:rsid w:val="00262E84"/>
    <w:rsid w:val="00267984"/>
    <w:rsid w:val="00270EA0"/>
    <w:rsid w:val="00281CC9"/>
    <w:rsid w:val="00285B68"/>
    <w:rsid w:val="002952E2"/>
    <w:rsid w:val="00297E58"/>
    <w:rsid w:val="002A4710"/>
    <w:rsid w:val="002B293B"/>
    <w:rsid w:val="002B3430"/>
    <w:rsid w:val="002B72BB"/>
    <w:rsid w:val="002C008E"/>
    <w:rsid w:val="002C10C4"/>
    <w:rsid w:val="002C71B4"/>
    <w:rsid w:val="002D0AD9"/>
    <w:rsid w:val="002D5F9F"/>
    <w:rsid w:val="002D6842"/>
    <w:rsid w:val="002E760E"/>
    <w:rsid w:val="00300469"/>
    <w:rsid w:val="003103C6"/>
    <w:rsid w:val="00321A2A"/>
    <w:rsid w:val="00336668"/>
    <w:rsid w:val="00340218"/>
    <w:rsid w:val="00346D9D"/>
    <w:rsid w:val="003477BC"/>
    <w:rsid w:val="003543BC"/>
    <w:rsid w:val="00355D83"/>
    <w:rsid w:val="00356E29"/>
    <w:rsid w:val="0036464E"/>
    <w:rsid w:val="003719EF"/>
    <w:rsid w:val="003850D2"/>
    <w:rsid w:val="00391D12"/>
    <w:rsid w:val="0039618A"/>
    <w:rsid w:val="00397164"/>
    <w:rsid w:val="003A4E32"/>
    <w:rsid w:val="003B29FA"/>
    <w:rsid w:val="003C2913"/>
    <w:rsid w:val="003C4D27"/>
    <w:rsid w:val="003C772B"/>
    <w:rsid w:val="003D5ACF"/>
    <w:rsid w:val="003D6594"/>
    <w:rsid w:val="003E5A57"/>
    <w:rsid w:val="003E7B1B"/>
    <w:rsid w:val="00403DFA"/>
    <w:rsid w:val="00406BC7"/>
    <w:rsid w:val="00406EF5"/>
    <w:rsid w:val="00414DDA"/>
    <w:rsid w:val="00415AC0"/>
    <w:rsid w:val="00430CC7"/>
    <w:rsid w:val="00442DD7"/>
    <w:rsid w:val="004753A2"/>
    <w:rsid w:val="0048363A"/>
    <w:rsid w:val="004849EE"/>
    <w:rsid w:val="00486D77"/>
    <w:rsid w:val="004A09FD"/>
    <w:rsid w:val="004A0EAF"/>
    <w:rsid w:val="004A0F1D"/>
    <w:rsid w:val="004A278B"/>
    <w:rsid w:val="004A677B"/>
    <w:rsid w:val="004A6E84"/>
    <w:rsid w:val="004C1985"/>
    <w:rsid w:val="004D5F44"/>
    <w:rsid w:val="004F0909"/>
    <w:rsid w:val="004F66F4"/>
    <w:rsid w:val="005138CB"/>
    <w:rsid w:val="00527C79"/>
    <w:rsid w:val="00533B78"/>
    <w:rsid w:val="005370E5"/>
    <w:rsid w:val="00537781"/>
    <w:rsid w:val="005408E9"/>
    <w:rsid w:val="00542BF5"/>
    <w:rsid w:val="00546667"/>
    <w:rsid w:val="005502BC"/>
    <w:rsid w:val="00560F52"/>
    <w:rsid w:val="00564FC2"/>
    <w:rsid w:val="00584CCD"/>
    <w:rsid w:val="00586A26"/>
    <w:rsid w:val="0058724B"/>
    <w:rsid w:val="00592267"/>
    <w:rsid w:val="00593052"/>
    <w:rsid w:val="005956DB"/>
    <w:rsid w:val="005A3607"/>
    <w:rsid w:val="005A5CAC"/>
    <w:rsid w:val="005A5E7F"/>
    <w:rsid w:val="005A6614"/>
    <w:rsid w:val="005D1042"/>
    <w:rsid w:val="005E2CCF"/>
    <w:rsid w:val="005E3A40"/>
    <w:rsid w:val="005E5CB9"/>
    <w:rsid w:val="00601E4E"/>
    <w:rsid w:val="00604080"/>
    <w:rsid w:val="00613D73"/>
    <w:rsid w:val="00617A30"/>
    <w:rsid w:val="00623067"/>
    <w:rsid w:val="00625CB3"/>
    <w:rsid w:val="00625E34"/>
    <w:rsid w:val="00634411"/>
    <w:rsid w:val="00637056"/>
    <w:rsid w:val="00637B33"/>
    <w:rsid w:val="00640EC0"/>
    <w:rsid w:val="00644F37"/>
    <w:rsid w:val="00645014"/>
    <w:rsid w:val="00647586"/>
    <w:rsid w:val="0065178B"/>
    <w:rsid w:val="00653DB5"/>
    <w:rsid w:val="00661677"/>
    <w:rsid w:val="00665923"/>
    <w:rsid w:val="00670447"/>
    <w:rsid w:val="00670858"/>
    <w:rsid w:val="00674ECD"/>
    <w:rsid w:val="006754C6"/>
    <w:rsid w:val="00676973"/>
    <w:rsid w:val="00680A53"/>
    <w:rsid w:val="00683348"/>
    <w:rsid w:val="0069799C"/>
    <w:rsid w:val="006A2D20"/>
    <w:rsid w:val="006A4DF0"/>
    <w:rsid w:val="006B5E58"/>
    <w:rsid w:val="006C3F45"/>
    <w:rsid w:val="006E5D45"/>
    <w:rsid w:val="006F2755"/>
    <w:rsid w:val="006F35B7"/>
    <w:rsid w:val="006F520D"/>
    <w:rsid w:val="006F7D52"/>
    <w:rsid w:val="00704176"/>
    <w:rsid w:val="00704AD8"/>
    <w:rsid w:val="007058C9"/>
    <w:rsid w:val="0071295E"/>
    <w:rsid w:val="007419FD"/>
    <w:rsid w:val="00741BF7"/>
    <w:rsid w:val="007501E1"/>
    <w:rsid w:val="007530E6"/>
    <w:rsid w:val="0075649A"/>
    <w:rsid w:val="0079082F"/>
    <w:rsid w:val="00790A71"/>
    <w:rsid w:val="007A149B"/>
    <w:rsid w:val="007A6001"/>
    <w:rsid w:val="007B2115"/>
    <w:rsid w:val="007B53DE"/>
    <w:rsid w:val="007D47F3"/>
    <w:rsid w:val="007E1FEB"/>
    <w:rsid w:val="007E2D8A"/>
    <w:rsid w:val="007E3DB9"/>
    <w:rsid w:val="007F3F66"/>
    <w:rsid w:val="007F7C09"/>
    <w:rsid w:val="00802E10"/>
    <w:rsid w:val="0080530C"/>
    <w:rsid w:val="00811269"/>
    <w:rsid w:val="0081437E"/>
    <w:rsid w:val="0081509F"/>
    <w:rsid w:val="00821A35"/>
    <w:rsid w:val="00822CB5"/>
    <w:rsid w:val="00827105"/>
    <w:rsid w:val="00850869"/>
    <w:rsid w:val="0085224A"/>
    <w:rsid w:val="00854342"/>
    <w:rsid w:val="00866016"/>
    <w:rsid w:val="00870E28"/>
    <w:rsid w:val="0087119B"/>
    <w:rsid w:val="008778EB"/>
    <w:rsid w:val="00877B18"/>
    <w:rsid w:val="00883F3C"/>
    <w:rsid w:val="00884839"/>
    <w:rsid w:val="008857E8"/>
    <w:rsid w:val="00897638"/>
    <w:rsid w:val="008A453F"/>
    <w:rsid w:val="008A7C06"/>
    <w:rsid w:val="008B75A1"/>
    <w:rsid w:val="008B7E28"/>
    <w:rsid w:val="008C1330"/>
    <w:rsid w:val="008C2A71"/>
    <w:rsid w:val="008C6F1B"/>
    <w:rsid w:val="008D67C9"/>
    <w:rsid w:val="008E43D5"/>
    <w:rsid w:val="008F54C7"/>
    <w:rsid w:val="008F5A62"/>
    <w:rsid w:val="009126E0"/>
    <w:rsid w:val="00922CC7"/>
    <w:rsid w:val="00923384"/>
    <w:rsid w:val="00923B09"/>
    <w:rsid w:val="00924CBF"/>
    <w:rsid w:val="00931BF5"/>
    <w:rsid w:val="00953C43"/>
    <w:rsid w:val="0095639D"/>
    <w:rsid w:val="00962901"/>
    <w:rsid w:val="00963EA1"/>
    <w:rsid w:val="0097362C"/>
    <w:rsid w:val="00982292"/>
    <w:rsid w:val="00983987"/>
    <w:rsid w:val="00986908"/>
    <w:rsid w:val="0099043E"/>
    <w:rsid w:val="00990A63"/>
    <w:rsid w:val="009913E5"/>
    <w:rsid w:val="00994B7D"/>
    <w:rsid w:val="009A16CA"/>
    <w:rsid w:val="009A3C59"/>
    <w:rsid w:val="009A47BA"/>
    <w:rsid w:val="009A6473"/>
    <w:rsid w:val="009A788E"/>
    <w:rsid w:val="009B5CBD"/>
    <w:rsid w:val="009E3117"/>
    <w:rsid w:val="009E4398"/>
    <w:rsid w:val="009E46B2"/>
    <w:rsid w:val="00A1427F"/>
    <w:rsid w:val="00A22B5F"/>
    <w:rsid w:val="00A23D66"/>
    <w:rsid w:val="00A31F06"/>
    <w:rsid w:val="00A34D6F"/>
    <w:rsid w:val="00A45944"/>
    <w:rsid w:val="00A45E57"/>
    <w:rsid w:val="00A473D2"/>
    <w:rsid w:val="00A4746D"/>
    <w:rsid w:val="00A50B08"/>
    <w:rsid w:val="00A52E8A"/>
    <w:rsid w:val="00A55082"/>
    <w:rsid w:val="00A716BE"/>
    <w:rsid w:val="00A74DC7"/>
    <w:rsid w:val="00A8575C"/>
    <w:rsid w:val="00A86160"/>
    <w:rsid w:val="00A86810"/>
    <w:rsid w:val="00AA2307"/>
    <w:rsid w:val="00AB0EA2"/>
    <w:rsid w:val="00AC22F5"/>
    <w:rsid w:val="00AD5619"/>
    <w:rsid w:val="00B02233"/>
    <w:rsid w:val="00B035AC"/>
    <w:rsid w:val="00B03B01"/>
    <w:rsid w:val="00B22A84"/>
    <w:rsid w:val="00B335C5"/>
    <w:rsid w:val="00B35B36"/>
    <w:rsid w:val="00B43114"/>
    <w:rsid w:val="00B4400B"/>
    <w:rsid w:val="00B447DE"/>
    <w:rsid w:val="00B5354D"/>
    <w:rsid w:val="00B57720"/>
    <w:rsid w:val="00B70F39"/>
    <w:rsid w:val="00B70F58"/>
    <w:rsid w:val="00B7755A"/>
    <w:rsid w:val="00B82557"/>
    <w:rsid w:val="00B86C92"/>
    <w:rsid w:val="00BA0B23"/>
    <w:rsid w:val="00BA50F0"/>
    <w:rsid w:val="00BA5A12"/>
    <w:rsid w:val="00BA60CD"/>
    <w:rsid w:val="00BA6127"/>
    <w:rsid w:val="00BB3AE5"/>
    <w:rsid w:val="00BB5B7A"/>
    <w:rsid w:val="00BC6D01"/>
    <w:rsid w:val="00BC7118"/>
    <w:rsid w:val="00BD3DD5"/>
    <w:rsid w:val="00BD4C1C"/>
    <w:rsid w:val="00BD4F24"/>
    <w:rsid w:val="00BD7FCB"/>
    <w:rsid w:val="00BE38B7"/>
    <w:rsid w:val="00BE6FB2"/>
    <w:rsid w:val="00BE7B1F"/>
    <w:rsid w:val="00BF6CA0"/>
    <w:rsid w:val="00C02075"/>
    <w:rsid w:val="00C05D81"/>
    <w:rsid w:val="00C067BE"/>
    <w:rsid w:val="00C10055"/>
    <w:rsid w:val="00C10342"/>
    <w:rsid w:val="00C1134A"/>
    <w:rsid w:val="00C12325"/>
    <w:rsid w:val="00C25982"/>
    <w:rsid w:val="00C26EA9"/>
    <w:rsid w:val="00C303C6"/>
    <w:rsid w:val="00C33401"/>
    <w:rsid w:val="00C36593"/>
    <w:rsid w:val="00C423BD"/>
    <w:rsid w:val="00C45C34"/>
    <w:rsid w:val="00C5048D"/>
    <w:rsid w:val="00C50A83"/>
    <w:rsid w:val="00C5663D"/>
    <w:rsid w:val="00C57E2F"/>
    <w:rsid w:val="00C60448"/>
    <w:rsid w:val="00C676ED"/>
    <w:rsid w:val="00C7403C"/>
    <w:rsid w:val="00C77F17"/>
    <w:rsid w:val="00C80BEB"/>
    <w:rsid w:val="00CA459E"/>
    <w:rsid w:val="00CB4FA2"/>
    <w:rsid w:val="00CB5997"/>
    <w:rsid w:val="00CC5B45"/>
    <w:rsid w:val="00CC7DCF"/>
    <w:rsid w:val="00CD4AF9"/>
    <w:rsid w:val="00CD6A44"/>
    <w:rsid w:val="00CE54EE"/>
    <w:rsid w:val="00CF45DF"/>
    <w:rsid w:val="00CF5198"/>
    <w:rsid w:val="00CF75DD"/>
    <w:rsid w:val="00CF7850"/>
    <w:rsid w:val="00D03003"/>
    <w:rsid w:val="00D07D27"/>
    <w:rsid w:val="00D15DAF"/>
    <w:rsid w:val="00D21D07"/>
    <w:rsid w:val="00D31224"/>
    <w:rsid w:val="00D36996"/>
    <w:rsid w:val="00D375C9"/>
    <w:rsid w:val="00D619EC"/>
    <w:rsid w:val="00D6323F"/>
    <w:rsid w:val="00D63A57"/>
    <w:rsid w:val="00D707B7"/>
    <w:rsid w:val="00D733DC"/>
    <w:rsid w:val="00D748E5"/>
    <w:rsid w:val="00D8205B"/>
    <w:rsid w:val="00D87CF2"/>
    <w:rsid w:val="00DA2F3F"/>
    <w:rsid w:val="00DA4D8A"/>
    <w:rsid w:val="00DA5D49"/>
    <w:rsid w:val="00DA6884"/>
    <w:rsid w:val="00DA6DE2"/>
    <w:rsid w:val="00DB0337"/>
    <w:rsid w:val="00DB0FC5"/>
    <w:rsid w:val="00DB6F24"/>
    <w:rsid w:val="00DB73E1"/>
    <w:rsid w:val="00DC0D56"/>
    <w:rsid w:val="00DC3073"/>
    <w:rsid w:val="00DC39DC"/>
    <w:rsid w:val="00DC407D"/>
    <w:rsid w:val="00DC575C"/>
    <w:rsid w:val="00DC7919"/>
    <w:rsid w:val="00DD2E32"/>
    <w:rsid w:val="00DD799E"/>
    <w:rsid w:val="00DE1E1B"/>
    <w:rsid w:val="00DF3E59"/>
    <w:rsid w:val="00DF48B5"/>
    <w:rsid w:val="00E002D3"/>
    <w:rsid w:val="00E10BA3"/>
    <w:rsid w:val="00E25FC8"/>
    <w:rsid w:val="00E32C4F"/>
    <w:rsid w:val="00E35B65"/>
    <w:rsid w:val="00E42C7D"/>
    <w:rsid w:val="00E45604"/>
    <w:rsid w:val="00E500DB"/>
    <w:rsid w:val="00E638C0"/>
    <w:rsid w:val="00E67D1E"/>
    <w:rsid w:val="00E7288C"/>
    <w:rsid w:val="00E80926"/>
    <w:rsid w:val="00E84703"/>
    <w:rsid w:val="00E84FB9"/>
    <w:rsid w:val="00E902E1"/>
    <w:rsid w:val="00E92651"/>
    <w:rsid w:val="00EA1BB7"/>
    <w:rsid w:val="00EA59A7"/>
    <w:rsid w:val="00EC01A7"/>
    <w:rsid w:val="00ED1396"/>
    <w:rsid w:val="00ED33C4"/>
    <w:rsid w:val="00EE33D3"/>
    <w:rsid w:val="00EF3280"/>
    <w:rsid w:val="00EF4AE9"/>
    <w:rsid w:val="00EF586F"/>
    <w:rsid w:val="00F01F27"/>
    <w:rsid w:val="00F05081"/>
    <w:rsid w:val="00F15081"/>
    <w:rsid w:val="00F26AE0"/>
    <w:rsid w:val="00F27CDD"/>
    <w:rsid w:val="00F32AA5"/>
    <w:rsid w:val="00F32CF6"/>
    <w:rsid w:val="00F363BA"/>
    <w:rsid w:val="00F36D27"/>
    <w:rsid w:val="00F400B9"/>
    <w:rsid w:val="00F51D1A"/>
    <w:rsid w:val="00F53CDF"/>
    <w:rsid w:val="00F57C59"/>
    <w:rsid w:val="00F70203"/>
    <w:rsid w:val="00F72A3F"/>
    <w:rsid w:val="00F749B6"/>
    <w:rsid w:val="00F843B2"/>
    <w:rsid w:val="00F95D02"/>
    <w:rsid w:val="00FA6846"/>
    <w:rsid w:val="00FA7DFC"/>
    <w:rsid w:val="00FC28E0"/>
    <w:rsid w:val="00FD4134"/>
    <w:rsid w:val="00FD48A3"/>
    <w:rsid w:val="00FD7834"/>
    <w:rsid w:val="00FD7D5B"/>
    <w:rsid w:val="00FE0137"/>
    <w:rsid w:val="00FE2968"/>
    <w:rsid w:val="00FE329C"/>
    <w:rsid w:val="00FF1B12"/>
    <w:rsid w:val="00FF20A3"/>
    <w:rsid w:val="00FF4B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2290"/>
    <o:shapelayout v:ext="edit">
      <o:idmap v:ext="edit" data="1"/>
      <o:rules v:ext="edit">
        <o:r id="V:Rule6" type="connector" idref="#_x0000_s1030"/>
        <o:r id="V:Rule7" type="connector" idref="#_x0000_s1026"/>
        <o:r id="V:Rule8" type="connector" idref="#_x0000_s1027"/>
        <o:r id="V:Rule9" type="connector" idref="#_x0000_s1028"/>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4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D0EFF"/>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unhideWhenUsed/>
    <w:qFormat/>
    <w:rsid w:val="008F5A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34A"/>
    <w:rPr>
      <w:rFonts w:ascii="Tahoma" w:hAnsi="Tahoma" w:cs="Tahoma"/>
      <w:sz w:val="16"/>
      <w:szCs w:val="16"/>
    </w:rPr>
  </w:style>
  <w:style w:type="character" w:customStyle="1" w:styleId="BalloonTextChar">
    <w:name w:val="Balloon Text Char"/>
    <w:basedOn w:val="DefaultParagraphFont"/>
    <w:link w:val="BalloonText"/>
    <w:uiPriority w:val="99"/>
    <w:semiHidden/>
    <w:rsid w:val="00C1134A"/>
    <w:rPr>
      <w:rFonts w:ascii="Tahoma" w:eastAsia="Times New Roman" w:hAnsi="Tahoma" w:cs="Tahoma"/>
      <w:sz w:val="16"/>
      <w:szCs w:val="16"/>
    </w:rPr>
  </w:style>
  <w:style w:type="paragraph" w:styleId="ListParagraph">
    <w:name w:val="List Paragraph"/>
    <w:basedOn w:val="Normal"/>
    <w:uiPriority w:val="34"/>
    <w:qFormat/>
    <w:rsid w:val="00C25982"/>
    <w:pPr>
      <w:ind w:left="720"/>
      <w:contextualSpacing/>
    </w:pPr>
  </w:style>
  <w:style w:type="paragraph" w:customStyle="1" w:styleId="Default">
    <w:name w:val="Default"/>
    <w:uiPriority w:val="99"/>
    <w:rsid w:val="006F2755"/>
    <w:pPr>
      <w:autoSpaceDE w:val="0"/>
      <w:autoSpaceDN w:val="0"/>
      <w:adjustRightInd w:val="0"/>
      <w:spacing w:after="0" w:line="240" w:lineRule="auto"/>
    </w:pPr>
    <w:rPr>
      <w:rFonts w:ascii="Comic Sans MS" w:eastAsia="Times New Roman" w:hAnsi="Comic Sans MS" w:cs="Comic Sans MS"/>
      <w:color w:val="000000"/>
      <w:sz w:val="24"/>
      <w:szCs w:val="24"/>
    </w:rPr>
  </w:style>
  <w:style w:type="character" w:styleId="Strong">
    <w:name w:val="Strong"/>
    <w:basedOn w:val="DefaultParagraphFont"/>
    <w:uiPriority w:val="99"/>
    <w:qFormat/>
    <w:rsid w:val="007B53DE"/>
    <w:rPr>
      <w:rFonts w:cs="Times New Roman"/>
      <w:b/>
      <w:bCs/>
    </w:rPr>
  </w:style>
  <w:style w:type="table" w:styleId="TableGrid">
    <w:name w:val="Table Grid"/>
    <w:basedOn w:val="TableNormal"/>
    <w:uiPriority w:val="1"/>
    <w:rsid w:val="007B53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74ECD"/>
    <w:rPr>
      <w:color w:val="0000FF"/>
      <w:u w:val="single"/>
    </w:rPr>
  </w:style>
  <w:style w:type="paragraph" w:styleId="NormalWeb">
    <w:name w:val="Normal (Web)"/>
    <w:basedOn w:val="Normal"/>
    <w:uiPriority w:val="99"/>
    <w:unhideWhenUsed/>
    <w:rsid w:val="00674ECD"/>
    <w:pPr>
      <w:spacing w:before="100" w:beforeAutospacing="1" w:after="100" w:afterAutospacing="1"/>
    </w:pPr>
  </w:style>
  <w:style w:type="character" w:customStyle="1" w:styleId="Heading1Char">
    <w:name w:val="Heading 1 Char"/>
    <w:basedOn w:val="DefaultParagraphFont"/>
    <w:link w:val="Heading1"/>
    <w:uiPriority w:val="9"/>
    <w:rsid w:val="000D0EFF"/>
    <w:rPr>
      <w:rFonts w:ascii="Times New Roman" w:eastAsia="Times New Roman" w:hAnsi="Times New Roman" w:cs="Times New Roman"/>
      <w:b/>
      <w:bCs/>
      <w:kern w:val="36"/>
      <w:sz w:val="48"/>
      <w:szCs w:val="48"/>
    </w:rPr>
  </w:style>
  <w:style w:type="character" w:customStyle="1" w:styleId="shorttext">
    <w:name w:val="short_text"/>
    <w:basedOn w:val="DefaultParagraphFont"/>
    <w:rsid w:val="001D2567"/>
  </w:style>
  <w:style w:type="character" w:styleId="PlaceholderText">
    <w:name w:val="Placeholder Text"/>
    <w:basedOn w:val="DefaultParagraphFont"/>
    <w:uiPriority w:val="99"/>
    <w:semiHidden/>
    <w:rsid w:val="00DB6F24"/>
    <w:rPr>
      <w:color w:val="808080"/>
    </w:rPr>
  </w:style>
  <w:style w:type="character" w:customStyle="1" w:styleId="searchtermshighlighted">
    <w:name w:val="searchtermshighlighted"/>
    <w:basedOn w:val="DefaultParagraphFont"/>
    <w:rsid w:val="008F5A62"/>
  </w:style>
  <w:style w:type="character" w:customStyle="1" w:styleId="Heading5Char">
    <w:name w:val="Heading 5 Char"/>
    <w:basedOn w:val="DefaultParagraphFont"/>
    <w:link w:val="Heading5"/>
    <w:uiPriority w:val="9"/>
    <w:rsid w:val="008F5A62"/>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270EA0"/>
    <w:pPr>
      <w:tabs>
        <w:tab w:val="center" w:pos="4153"/>
        <w:tab w:val="right" w:pos="8306"/>
      </w:tabs>
    </w:pPr>
  </w:style>
  <w:style w:type="character" w:customStyle="1" w:styleId="HeaderChar">
    <w:name w:val="Header Char"/>
    <w:basedOn w:val="DefaultParagraphFont"/>
    <w:link w:val="Header"/>
    <w:uiPriority w:val="99"/>
    <w:rsid w:val="00270EA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70EA0"/>
    <w:pPr>
      <w:tabs>
        <w:tab w:val="center" w:pos="4153"/>
        <w:tab w:val="right" w:pos="8306"/>
      </w:tabs>
    </w:pPr>
  </w:style>
  <w:style w:type="character" w:customStyle="1" w:styleId="FooterChar">
    <w:name w:val="Footer Char"/>
    <w:basedOn w:val="DefaultParagraphFont"/>
    <w:link w:val="Footer"/>
    <w:uiPriority w:val="99"/>
    <w:semiHidden/>
    <w:rsid w:val="00270EA0"/>
    <w:rPr>
      <w:rFonts w:ascii="Times New Roman" w:eastAsia="Times New Roman" w:hAnsi="Times New Roman" w:cs="Times New Roman"/>
      <w:sz w:val="24"/>
      <w:szCs w:val="24"/>
    </w:rPr>
  </w:style>
  <w:style w:type="character" w:customStyle="1" w:styleId="apple-style-span">
    <w:name w:val="apple-style-span"/>
    <w:basedOn w:val="DefaultParagraphFont"/>
    <w:rsid w:val="005D1042"/>
  </w:style>
  <w:style w:type="character" w:customStyle="1" w:styleId="apple-converted-space">
    <w:name w:val="apple-converted-space"/>
    <w:basedOn w:val="DefaultParagraphFont"/>
    <w:rsid w:val="005D1042"/>
  </w:style>
</w:styles>
</file>

<file path=word/webSettings.xml><?xml version="1.0" encoding="utf-8"?>
<w:webSettings xmlns:r="http://schemas.openxmlformats.org/officeDocument/2006/relationships" xmlns:w="http://schemas.openxmlformats.org/wordprocessingml/2006/main">
  <w:divs>
    <w:div w:id="202981453">
      <w:bodyDiv w:val="1"/>
      <w:marLeft w:val="0"/>
      <w:marRight w:val="0"/>
      <w:marTop w:val="0"/>
      <w:marBottom w:val="0"/>
      <w:divBdr>
        <w:top w:val="none" w:sz="0" w:space="0" w:color="auto"/>
        <w:left w:val="none" w:sz="0" w:space="0" w:color="auto"/>
        <w:bottom w:val="none" w:sz="0" w:space="0" w:color="auto"/>
        <w:right w:val="none" w:sz="0" w:space="0" w:color="auto"/>
      </w:divBdr>
    </w:div>
    <w:div w:id="223957168">
      <w:bodyDiv w:val="1"/>
      <w:marLeft w:val="0"/>
      <w:marRight w:val="0"/>
      <w:marTop w:val="0"/>
      <w:marBottom w:val="0"/>
      <w:divBdr>
        <w:top w:val="none" w:sz="0" w:space="0" w:color="auto"/>
        <w:left w:val="none" w:sz="0" w:space="0" w:color="auto"/>
        <w:bottom w:val="none" w:sz="0" w:space="0" w:color="auto"/>
        <w:right w:val="none" w:sz="0" w:space="0" w:color="auto"/>
      </w:divBdr>
      <w:divsChild>
        <w:div w:id="1381635254">
          <w:marLeft w:val="204"/>
          <w:marRight w:val="0"/>
          <w:marTop w:val="0"/>
          <w:marBottom w:val="0"/>
          <w:divBdr>
            <w:top w:val="none" w:sz="0" w:space="0" w:color="auto"/>
            <w:left w:val="none" w:sz="0" w:space="0" w:color="auto"/>
            <w:bottom w:val="none" w:sz="0" w:space="0" w:color="auto"/>
            <w:right w:val="none" w:sz="0" w:space="0" w:color="auto"/>
          </w:divBdr>
        </w:div>
      </w:divsChild>
    </w:div>
    <w:div w:id="283317154">
      <w:bodyDiv w:val="1"/>
      <w:marLeft w:val="0"/>
      <w:marRight w:val="0"/>
      <w:marTop w:val="0"/>
      <w:marBottom w:val="0"/>
      <w:divBdr>
        <w:top w:val="none" w:sz="0" w:space="0" w:color="auto"/>
        <w:left w:val="none" w:sz="0" w:space="0" w:color="auto"/>
        <w:bottom w:val="none" w:sz="0" w:space="0" w:color="auto"/>
        <w:right w:val="none" w:sz="0" w:space="0" w:color="auto"/>
      </w:divBdr>
    </w:div>
    <w:div w:id="348027644">
      <w:bodyDiv w:val="1"/>
      <w:marLeft w:val="0"/>
      <w:marRight w:val="0"/>
      <w:marTop w:val="0"/>
      <w:marBottom w:val="0"/>
      <w:divBdr>
        <w:top w:val="none" w:sz="0" w:space="0" w:color="auto"/>
        <w:left w:val="none" w:sz="0" w:space="0" w:color="auto"/>
        <w:bottom w:val="none" w:sz="0" w:space="0" w:color="auto"/>
        <w:right w:val="none" w:sz="0" w:space="0" w:color="auto"/>
      </w:divBdr>
    </w:div>
    <w:div w:id="460660738">
      <w:bodyDiv w:val="1"/>
      <w:marLeft w:val="0"/>
      <w:marRight w:val="0"/>
      <w:marTop w:val="0"/>
      <w:marBottom w:val="0"/>
      <w:divBdr>
        <w:top w:val="none" w:sz="0" w:space="0" w:color="auto"/>
        <w:left w:val="none" w:sz="0" w:space="0" w:color="auto"/>
        <w:bottom w:val="none" w:sz="0" w:space="0" w:color="auto"/>
        <w:right w:val="none" w:sz="0" w:space="0" w:color="auto"/>
      </w:divBdr>
    </w:div>
    <w:div w:id="930314577">
      <w:bodyDiv w:val="1"/>
      <w:marLeft w:val="0"/>
      <w:marRight w:val="0"/>
      <w:marTop w:val="0"/>
      <w:marBottom w:val="0"/>
      <w:divBdr>
        <w:top w:val="none" w:sz="0" w:space="0" w:color="auto"/>
        <w:left w:val="none" w:sz="0" w:space="0" w:color="auto"/>
        <w:bottom w:val="none" w:sz="0" w:space="0" w:color="auto"/>
        <w:right w:val="none" w:sz="0" w:space="0" w:color="auto"/>
      </w:divBdr>
    </w:div>
    <w:div w:id="1038164826">
      <w:bodyDiv w:val="1"/>
      <w:marLeft w:val="0"/>
      <w:marRight w:val="0"/>
      <w:marTop w:val="0"/>
      <w:marBottom w:val="0"/>
      <w:divBdr>
        <w:top w:val="none" w:sz="0" w:space="0" w:color="auto"/>
        <w:left w:val="none" w:sz="0" w:space="0" w:color="auto"/>
        <w:bottom w:val="none" w:sz="0" w:space="0" w:color="auto"/>
        <w:right w:val="none" w:sz="0" w:space="0" w:color="auto"/>
      </w:divBdr>
      <w:divsChild>
        <w:div w:id="1867131208">
          <w:marLeft w:val="204"/>
          <w:marRight w:val="0"/>
          <w:marTop w:val="0"/>
          <w:marBottom w:val="0"/>
          <w:divBdr>
            <w:top w:val="none" w:sz="0" w:space="0" w:color="auto"/>
            <w:left w:val="none" w:sz="0" w:space="0" w:color="auto"/>
            <w:bottom w:val="none" w:sz="0" w:space="0" w:color="auto"/>
            <w:right w:val="none" w:sz="0" w:space="0" w:color="auto"/>
          </w:divBdr>
        </w:div>
      </w:divsChild>
    </w:div>
    <w:div w:id="1052459567">
      <w:bodyDiv w:val="1"/>
      <w:marLeft w:val="0"/>
      <w:marRight w:val="0"/>
      <w:marTop w:val="0"/>
      <w:marBottom w:val="0"/>
      <w:divBdr>
        <w:top w:val="none" w:sz="0" w:space="0" w:color="auto"/>
        <w:left w:val="none" w:sz="0" w:space="0" w:color="auto"/>
        <w:bottom w:val="none" w:sz="0" w:space="0" w:color="auto"/>
        <w:right w:val="none" w:sz="0" w:space="0" w:color="auto"/>
      </w:divBdr>
    </w:div>
    <w:div w:id="1286035678">
      <w:bodyDiv w:val="1"/>
      <w:marLeft w:val="0"/>
      <w:marRight w:val="0"/>
      <w:marTop w:val="0"/>
      <w:marBottom w:val="0"/>
      <w:divBdr>
        <w:top w:val="none" w:sz="0" w:space="0" w:color="auto"/>
        <w:left w:val="none" w:sz="0" w:space="0" w:color="auto"/>
        <w:bottom w:val="none" w:sz="0" w:space="0" w:color="auto"/>
        <w:right w:val="none" w:sz="0" w:space="0" w:color="auto"/>
      </w:divBdr>
    </w:div>
    <w:div w:id="1384870041">
      <w:bodyDiv w:val="1"/>
      <w:marLeft w:val="0"/>
      <w:marRight w:val="0"/>
      <w:marTop w:val="0"/>
      <w:marBottom w:val="0"/>
      <w:divBdr>
        <w:top w:val="none" w:sz="0" w:space="0" w:color="auto"/>
        <w:left w:val="none" w:sz="0" w:space="0" w:color="auto"/>
        <w:bottom w:val="none" w:sz="0" w:space="0" w:color="auto"/>
        <w:right w:val="none" w:sz="0" w:space="0" w:color="auto"/>
      </w:divBdr>
    </w:div>
    <w:div w:id="1385060111">
      <w:bodyDiv w:val="1"/>
      <w:marLeft w:val="0"/>
      <w:marRight w:val="0"/>
      <w:marTop w:val="0"/>
      <w:marBottom w:val="0"/>
      <w:divBdr>
        <w:top w:val="none" w:sz="0" w:space="0" w:color="auto"/>
        <w:left w:val="none" w:sz="0" w:space="0" w:color="auto"/>
        <w:bottom w:val="none" w:sz="0" w:space="0" w:color="auto"/>
        <w:right w:val="none" w:sz="0" w:space="0" w:color="auto"/>
      </w:divBdr>
      <w:divsChild>
        <w:div w:id="1255279956">
          <w:marLeft w:val="0"/>
          <w:marRight w:val="0"/>
          <w:marTop w:val="0"/>
          <w:marBottom w:val="0"/>
          <w:divBdr>
            <w:top w:val="none" w:sz="0" w:space="0" w:color="auto"/>
            <w:left w:val="none" w:sz="0" w:space="0" w:color="auto"/>
            <w:bottom w:val="none" w:sz="0" w:space="0" w:color="auto"/>
            <w:right w:val="none" w:sz="0" w:space="0" w:color="auto"/>
          </w:divBdr>
        </w:div>
      </w:divsChild>
    </w:div>
    <w:div w:id="1672298813">
      <w:bodyDiv w:val="1"/>
      <w:marLeft w:val="0"/>
      <w:marRight w:val="0"/>
      <w:marTop w:val="0"/>
      <w:marBottom w:val="0"/>
      <w:divBdr>
        <w:top w:val="none" w:sz="0" w:space="0" w:color="auto"/>
        <w:left w:val="none" w:sz="0" w:space="0" w:color="auto"/>
        <w:bottom w:val="none" w:sz="0" w:space="0" w:color="auto"/>
        <w:right w:val="none" w:sz="0" w:space="0" w:color="auto"/>
      </w:divBdr>
      <w:divsChild>
        <w:div w:id="896353367">
          <w:marLeft w:val="204"/>
          <w:marRight w:val="0"/>
          <w:marTop w:val="0"/>
          <w:marBottom w:val="0"/>
          <w:divBdr>
            <w:top w:val="none" w:sz="0" w:space="0" w:color="auto"/>
            <w:left w:val="none" w:sz="0" w:space="0" w:color="auto"/>
            <w:bottom w:val="none" w:sz="0" w:space="0" w:color="auto"/>
            <w:right w:val="none" w:sz="0" w:space="0" w:color="auto"/>
          </w:divBdr>
        </w:div>
      </w:divsChild>
    </w:div>
    <w:div w:id="194642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Arithmetic_mean" TargetMode="External"/><Relationship Id="rId18" Type="http://schemas.openxmlformats.org/officeDocument/2006/relationships/hyperlink" Target="http://en.wikipedia.org/wiki/Cost_of_living_index" TargetMode="External"/><Relationship Id="rId26" Type="http://schemas.openxmlformats.org/officeDocument/2006/relationships/hyperlink" Target="http://en.wikipedia.org/wiki/Good_%28economics%29" TargetMode="External"/><Relationship Id="rId39" Type="http://schemas.openxmlformats.org/officeDocument/2006/relationships/hyperlink" Target="http://en.wikipedia.org/wiki/Core_inflation" TargetMode="External"/><Relationship Id="rId21" Type="http://schemas.openxmlformats.org/officeDocument/2006/relationships/hyperlink" Target="http://en.wikipedia.org/wiki/Purchasing_power" TargetMode="External"/><Relationship Id="rId34" Type="http://schemas.openxmlformats.org/officeDocument/2006/relationships/hyperlink" Target="http://en.wikipedia.org/wiki/Scarcity" TargetMode="External"/><Relationship Id="rId42" Type="http://schemas.openxmlformats.org/officeDocument/2006/relationships/hyperlink" Target="http://en.wikipedia.org/wiki/Monetary_policy" TargetMode="External"/><Relationship Id="rId47" Type="http://schemas.openxmlformats.org/officeDocument/2006/relationships/hyperlink" Target="http://www.rateinflation.com" TargetMode="External"/><Relationship Id="rId50" Type="http://schemas.openxmlformats.org/officeDocument/2006/relationships/chart" Target="charts/chart3.xml"/><Relationship Id="rId55" Type="http://schemas.openxmlformats.org/officeDocument/2006/relationships/hyperlink" Target="http://ssrn.com" TargetMode="External"/><Relationship Id="rId63" Type="http://schemas.openxmlformats.org/officeDocument/2006/relationships/hyperlink" Target="http://www.investorwords.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Laspeyres_index" TargetMode="External"/><Relationship Id="rId29" Type="http://schemas.openxmlformats.org/officeDocument/2006/relationships/hyperlink" Target="http://en.wikipedia.org/wiki/Debt_reli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arket_basket" TargetMode="External"/><Relationship Id="rId24" Type="http://schemas.openxmlformats.org/officeDocument/2006/relationships/hyperlink" Target="http://en.wikipedia.org/wiki/Inflation" TargetMode="External"/><Relationship Id="rId32" Type="http://schemas.openxmlformats.org/officeDocument/2006/relationships/hyperlink" Target="http://en.wikipedia.org/wiki/Real_versus_nominal_value" TargetMode="External"/><Relationship Id="rId37" Type="http://schemas.openxmlformats.org/officeDocument/2006/relationships/hyperlink" Target="http://en.wikipedia.org/wiki/Wholesale_price_index" TargetMode="External"/><Relationship Id="rId40" Type="http://schemas.openxmlformats.org/officeDocument/2006/relationships/hyperlink" Target="http://en.wikipedia.org/wiki/List_of_national_and_international_statistical_services" TargetMode="External"/><Relationship Id="rId45" Type="http://schemas.openxmlformats.org/officeDocument/2006/relationships/hyperlink" Target="http://en.wikipedia.org/wiki/Inflation" TargetMode="External"/><Relationship Id="rId53" Type="http://schemas.openxmlformats.org/officeDocument/2006/relationships/chart" Target="charts/chart6.xml"/><Relationship Id="rId58" Type="http://schemas.openxmlformats.org/officeDocument/2006/relationships/hyperlink" Target="http://www.en.wikipedia.org/wiki/Inflation"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Barcode_reader" TargetMode="External"/><Relationship Id="rId23" Type="http://schemas.openxmlformats.org/officeDocument/2006/relationships/hyperlink" Target="http://en.wikipedia.org/wiki/Consumer_Price_Index" TargetMode="External"/><Relationship Id="rId28" Type="http://schemas.openxmlformats.org/officeDocument/2006/relationships/hyperlink" Target="http://en.wikipedia.org/wiki/Recession" TargetMode="External"/><Relationship Id="rId36" Type="http://schemas.openxmlformats.org/officeDocument/2006/relationships/hyperlink" Target="http://en.wikipedia.org/wiki/Producer_price_index" TargetMode="External"/><Relationship Id="rId49" Type="http://schemas.openxmlformats.org/officeDocument/2006/relationships/chart" Target="charts/chart2.xml"/><Relationship Id="rId57" Type="http://schemas.openxmlformats.org/officeDocument/2006/relationships/hyperlink" Target="http://www.centralbanksguide.com/fiat+money" TargetMode="External"/><Relationship Id="rId61" Type="http://schemas.openxmlformats.org/officeDocument/2006/relationships/hyperlink" Target="http://www.crsp.com" TargetMode="External"/><Relationship Id="rId10" Type="http://schemas.openxmlformats.org/officeDocument/2006/relationships/hyperlink" Target="http://en.wikipedia.org/wiki/Consumer_Services" TargetMode="External"/><Relationship Id="rId19" Type="http://schemas.openxmlformats.org/officeDocument/2006/relationships/hyperlink" Target="http://en.wikipedia.org/wiki/Price_level" TargetMode="External"/><Relationship Id="rId31" Type="http://schemas.openxmlformats.org/officeDocument/2006/relationships/hyperlink" Target="http://en.wikipedia.org/wiki/Money_supply" TargetMode="External"/><Relationship Id="rId44" Type="http://schemas.openxmlformats.org/officeDocument/2006/relationships/hyperlink" Target="http://en.wikipedia.org/wiki/Gross_Domestic_Product" TargetMode="External"/><Relationship Id="rId52" Type="http://schemas.openxmlformats.org/officeDocument/2006/relationships/chart" Target="charts/chart5.xml"/><Relationship Id="rId60" Type="http://schemas.openxmlformats.org/officeDocument/2006/relationships/hyperlink" Target="http://www.ssrn.com"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Final_goods" TargetMode="External"/><Relationship Id="rId14" Type="http://schemas.openxmlformats.org/officeDocument/2006/relationships/hyperlink" Target="http://en.wikipedia.org/wiki/Geometric_mean" TargetMode="External"/><Relationship Id="rId22" Type="http://schemas.openxmlformats.org/officeDocument/2006/relationships/hyperlink" Target="http://en.wikipedia.org/wiki/Inflation_rate" TargetMode="External"/><Relationship Id="rId27" Type="http://schemas.openxmlformats.org/officeDocument/2006/relationships/hyperlink" Target="http://en.wikipedia.org/wiki/Hoarding" TargetMode="External"/><Relationship Id="rId30" Type="http://schemas.openxmlformats.org/officeDocument/2006/relationships/hyperlink" Target="http://en.wikipedia.org/wiki/Hyperinflation" TargetMode="External"/><Relationship Id="rId35" Type="http://schemas.openxmlformats.org/officeDocument/2006/relationships/hyperlink" Target="http://en.wikipedia.org/wiki/Economic_growth" TargetMode="External"/><Relationship Id="rId43" Type="http://schemas.openxmlformats.org/officeDocument/2006/relationships/hyperlink" Target="http://en.wikipedia.org/wiki/GDP_deflator" TargetMode="External"/><Relationship Id="rId48" Type="http://schemas.openxmlformats.org/officeDocument/2006/relationships/chart" Target="charts/chart1.xml"/><Relationship Id="rId56" Type="http://schemas.openxmlformats.org/officeDocument/2006/relationships/hyperlink" Target="http://www.en.wikipedia.org/wiki/Consumer_price_index" TargetMode="External"/><Relationship Id="rId64" Type="http://schemas.openxmlformats.org/officeDocument/2006/relationships/hyperlink" Target="http://www.rateinflation.com/consumer-price-index" TargetMode="External"/><Relationship Id="rId8" Type="http://schemas.openxmlformats.org/officeDocument/2006/relationships/image" Target="media/image1.png"/><Relationship Id="rId51" Type="http://schemas.openxmlformats.org/officeDocument/2006/relationships/chart" Target="charts/chart4.xml"/><Relationship Id="rId3" Type="http://schemas.openxmlformats.org/officeDocument/2006/relationships/styles" Target="styles.xml"/><Relationship Id="rId12" Type="http://schemas.openxmlformats.org/officeDocument/2006/relationships/hyperlink" Target="http://en.wikipedia.org/wiki/Sampling_%28statistics%29" TargetMode="External"/><Relationship Id="rId17" Type="http://schemas.openxmlformats.org/officeDocument/2006/relationships/hyperlink" Target="http://en.wikipedia.org/wiki/List_of_price_index_formulas" TargetMode="External"/><Relationship Id="rId25" Type="http://schemas.openxmlformats.org/officeDocument/2006/relationships/hyperlink" Target="http://en.wikipedia.org/wiki/Inflation" TargetMode="External"/><Relationship Id="rId33" Type="http://schemas.openxmlformats.org/officeDocument/2006/relationships/hyperlink" Target="http://en.wikipedia.org/wiki/Demand" TargetMode="External"/><Relationship Id="rId38" Type="http://schemas.openxmlformats.org/officeDocument/2006/relationships/hyperlink" Target="http://en.wikipedia.org/wiki/Commodity_price_index" TargetMode="External"/><Relationship Id="rId46" Type="http://schemas.openxmlformats.org/officeDocument/2006/relationships/hyperlink" Target="http://www.centralbanksguide.com/currency+issuance/" TargetMode="External"/><Relationship Id="rId59" Type="http://schemas.openxmlformats.org/officeDocument/2006/relationships/hyperlink" Target="http://www.essortment.com/all/goldstandards_rgvh.htm" TargetMode="External"/><Relationship Id="rId67" Type="http://schemas.openxmlformats.org/officeDocument/2006/relationships/theme" Target="theme/theme1.xml"/><Relationship Id="rId20" Type="http://schemas.openxmlformats.org/officeDocument/2006/relationships/hyperlink" Target="http://en.wikipedia.org/wiki/Economy" TargetMode="External"/><Relationship Id="rId41" Type="http://schemas.openxmlformats.org/officeDocument/2006/relationships/hyperlink" Target="http://en.wikipedia.org/wiki/Central_bank" TargetMode="External"/><Relationship Id="rId54" Type="http://schemas.openxmlformats.org/officeDocument/2006/relationships/chart" Target="charts/chart7.xml"/><Relationship Id="rId62" Type="http://schemas.openxmlformats.org/officeDocument/2006/relationships/hyperlink" Target="http://www.teachmefinance.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style val="1"/>
  <c:chart>
    <c:title>
      <c:tx>
        <c:rich>
          <a:bodyPr/>
          <a:lstStyle/>
          <a:p>
            <a:pPr>
              <a:defRPr lang="ar-SA" sz="1200"/>
            </a:pPr>
            <a:r>
              <a:rPr lang="en-US" sz="1200"/>
              <a:t>The long run price stability</a:t>
            </a:r>
          </a:p>
        </c:rich>
      </c:tx>
    </c:title>
    <c:plotArea>
      <c:layout/>
      <c:barChart>
        <c:barDir val="col"/>
        <c:grouping val="clustered"/>
        <c:ser>
          <c:idx val="0"/>
          <c:order val="0"/>
          <c:tx>
            <c:strRef>
              <c:f>Sheet1!$B$1</c:f>
              <c:strCache>
                <c:ptCount val="1"/>
                <c:pt idx="0">
                  <c:v>MIR</c:v>
                </c:pt>
              </c:strCache>
            </c:strRef>
          </c:tx>
          <c:cat>
            <c:strRef>
              <c:f>Sheet1!$A$2:$A$5</c:f>
              <c:strCache>
                <c:ptCount val="4"/>
                <c:pt idx="0">
                  <c:v>USA</c:v>
                </c:pt>
                <c:pt idx="1">
                  <c:v>UK</c:v>
                </c:pt>
                <c:pt idx="2">
                  <c:v>Japan</c:v>
                </c:pt>
                <c:pt idx="3">
                  <c:v>Austalia</c:v>
                </c:pt>
              </c:strCache>
            </c:strRef>
          </c:cat>
          <c:val>
            <c:numRef>
              <c:f>Sheet1!$B$2:$B$5</c:f>
              <c:numCache>
                <c:formatCode>General</c:formatCode>
                <c:ptCount val="4"/>
                <c:pt idx="0">
                  <c:v>4.2500000000000024E-2</c:v>
                </c:pt>
                <c:pt idx="1">
                  <c:v>6.9100000000000134E-2</c:v>
                </c:pt>
                <c:pt idx="2">
                  <c:v>3.1000000000000218E-2</c:v>
                </c:pt>
                <c:pt idx="3">
                  <c:v>6.1800000000000126E-2</c:v>
                </c:pt>
              </c:numCache>
            </c:numRef>
          </c:val>
        </c:ser>
        <c:ser>
          <c:idx val="1"/>
          <c:order val="1"/>
          <c:tx>
            <c:strRef>
              <c:f>Sheet1!$C$1</c:f>
              <c:strCache>
                <c:ptCount val="1"/>
                <c:pt idx="0">
                  <c:v>MAIR</c:v>
                </c:pt>
              </c:strCache>
            </c:strRef>
          </c:tx>
          <c:cat>
            <c:strRef>
              <c:f>Sheet1!$A$2:$A$5</c:f>
              <c:strCache>
                <c:ptCount val="4"/>
                <c:pt idx="0">
                  <c:v>USA</c:v>
                </c:pt>
                <c:pt idx="1">
                  <c:v>UK</c:v>
                </c:pt>
                <c:pt idx="2">
                  <c:v>Japan</c:v>
                </c:pt>
                <c:pt idx="3">
                  <c:v>Austalia</c:v>
                </c:pt>
              </c:strCache>
            </c:strRef>
          </c:cat>
          <c:val>
            <c:numRef>
              <c:f>Sheet1!$C$2:$C$5</c:f>
              <c:numCache>
                <c:formatCode>General</c:formatCode>
                <c:ptCount val="4"/>
                <c:pt idx="0">
                  <c:v>-1.7900000000000138E-2</c:v>
                </c:pt>
                <c:pt idx="1">
                  <c:v>-1.4800000000000067E-2</c:v>
                </c:pt>
                <c:pt idx="2">
                  <c:v>1.0000000000000041E-3</c:v>
                </c:pt>
                <c:pt idx="3">
                  <c:v>-1.2900000000000087E-2</c:v>
                </c:pt>
              </c:numCache>
            </c:numRef>
          </c:val>
        </c:ser>
        <c:axId val="107926272"/>
        <c:axId val="125882752"/>
      </c:barChart>
      <c:catAx>
        <c:axId val="107926272"/>
        <c:scaling>
          <c:orientation val="minMax"/>
        </c:scaling>
        <c:axPos val="b"/>
        <c:majorTickMark val="none"/>
        <c:tickLblPos val="nextTo"/>
        <c:txPr>
          <a:bodyPr/>
          <a:lstStyle/>
          <a:p>
            <a:pPr>
              <a:defRPr lang="ar-SA"/>
            </a:pPr>
            <a:endParaRPr lang="ar-SA"/>
          </a:p>
        </c:txPr>
        <c:crossAx val="125882752"/>
        <c:crosses val="autoZero"/>
        <c:auto val="1"/>
        <c:lblAlgn val="ctr"/>
        <c:lblOffset val="100"/>
      </c:catAx>
      <c:valAx>
        <c:axId val="125882752"/>
        <c:scaling>
          <c:orientation val="minMax"/>
        </c:scaling>
        <c:axPos val="l"/>
        <c:majorGridlines/>
        <c:title>
          <c:tx>
            <c:rich>
              <a:bodyPr/>
              <a:lstStyle/>
              <a:p>
                <a:pPr>
                  <a:defRPr lang="ar-SA" sz="1200"/>
                </a:pPr>
                <a:r>
                  <a:rPr lang="en-US" sz="1200"/>
                  <a:t>MIR &amp; MAIR</a:t>
                </a:r>
              </a:p>
            </c:rich>
          </c:tx>
        </c:title>
        <c:numFmt formatCode="General" sourceLinked="1"/>
        <c:majorTickMark val="none"/>
        <c:tickLblPos val="nextTo"/>
        <c:txPr>
          <a:bodyPr/>
          <a:lstStyle/>
          <a:p>
            <a:pPr>
              <a:defRPr lang="ar-SA"/>
            </a:pPr>
            <a:endParaRPr lang="ar-SA"/>
          </a:p>
        </c:txPr>
        <c:crossAx val="107926272"/>
        <c:crosses val="autoZero"/>
        <c:crossBetween val="between"/>
      </c:valAx>
      <c:dTable>
        <c:showHorzBorder val="1"/>
        <c:showVertBorder val="1"/>
        <c:showOutline val="1"/>
        <c:showKeys val="1"/>
        <c:txPr>
          <a:bodyPr/>
          <a:lstStyle/>
          <a:p>
            <a:pPr rtl="0">
              <a:defRPr lang="ar-SA"/>
            </a:pPr>
            <a:endParaRPr lang="ar-SA"/>
          </a:p>
        </c:txPr>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style val="17"/>
  <c:chart>
    <c:title>
      <c:tx>
        <c:rich>
          <a:bodyPr/>
          <a:lstStyle/>
          <a:p>
            <a:pPr>
              <a:defRPr lang="ar-SA"/>
            </a:pPr>
            <a:r>
              <a:rPr lang="en-US" sz="1200" b="0">
                <a:cs typeface="+mj-cs"/>
              </a:rPr>
              <a:t>The short run price stability</a:t>
            </a:r>
          </a:p>
        </c:rich>
      </c:tx>
    </c:title>
    <c:plotArea>
      <c:layout/>
      <c:barChart>
        <c:barDir val="col"/>
        <c:grouping val="clustered"/>
        <c:ser>
          <c:idx val="0"/>
          <c:order val="0"/>
          <c:tx>
            <c:strRef>
              <c:f>Sheet1!$B$1</c:f>
              <c:strCache>
                <c:ptCount val="1"/>
                <c:pt idx="0">
                  <c:v>CVIR</c:v>
                </c:pt>
              </c:strCache>
            </c:strRef>
          </c:tx>
          <c:cat>
            <c:strRef>
              <c:f>Sheet1!$A$2:$A$5</c:f>
              <c:strCache>
                <c:ptCount val="4"/>
                <c:pt idx="0">
                  <c:v>USA</c:v>
                </c:pt>
                <c:pt idx="1">
                  <c:v>UK</c:v>
                </c:pt>
                <c:pt idx="2">
                  <c:v>Japan</c:v>
                </c:pt>
                <c:pt idx="3">
                  <c:v>Australia</c:v>
                </c:pt>
              </c:strCache>
            </c:strRef>
          </c:cat>
          <c:val>
            <c:numRef>
              <c:f>Sheet1!$B$2:$B$5</c:f>
              <c:numCache>
                <c:formatCode>General</c:formatCode>
                <c:ptCount val="4"/>
                <c:pt idx="0">
                  <c:v>0.65600000000000536</c:v>
                </c:pt>
                <c:pt idx="1">
                  <c:v>1.504</c:v>
                </c:pt>
                <c:pt idx="2">
                  <c:v>1.56</c:v>
                </c:pt>
                <c:pt idx="3">
                  <c:v>0.68700000000000061</c:v>
                </c:pt>
              </c:numCache>
            </c:numRef>
          </c:val>
        </c:ser>
        <c:ser>
          <c:idx val="1"/>
          <c:order val="1"/>
          <c:tx>
            <c:strRef>
              <c:f>Sheet1!$C$1</c:f>
              <c:strCache>
                <c:ptCount val="1"/>
                <c:pt idx="0">
                  <c:v>CVAIR</c:v>
                </c:pt>
              </c:strCache>
            </c:strRef>
          </c:tx>
          <c:cat>
            <c:strRef>
              <c:f>Sheet1!$A$2:$A$5</c:f>
              <c:strCache>
                <c:ptCount val="4"/>
                <c:pt idx="0">
                  <c:v>USA</c:v>
                </c:pt>
                <c:pt idx="1">
                  <c:v>UK</c:v>
                </c:pt>
                <c:pt idx="2">
                  <c:v>Japan</c:v>
                </c:pt>
                <c:pt idx="3">
                  <c:v>Australia</c:v>
                </c:pt>
              </c:strCache>
            </c:strRef>
          </c:cat>
          <c:val>
            <c:numRef>
              <c:f>Sheet1!$C$2:$C$5</c:f>
              <c:numCache>
                <c:formatCode>General</c:formatCode>
                <c:ptCount val="4"/>
                <c:pt idx="0">
                  <c:v>10.98</c:v>
                </c:pt>
                <c:pt idx="1">
                  <c:v>11.784000000000001</c:v>
                </c:pt>
                <c:pt idx="2">
                  <c:v>197.45000000000007</c:v>
                </c:pt>
                <c:pt idx="3">
                  <c:v>14.361000000000002</c:v>
                </c:pt>
              </c:numCache>
            </c:numRef>
          </c:val>
        </c:ser>
        <c:axId val="130395520"/>
        <c:axId val="152520576"/>
      </c:barChart>
      <c:catAx>
        <c:axId val="130395520"/>
        <c:scaling>
          <c:orientation val="minMax"/>
        </c:scaling>
        <c:axPos val="b"/>
        <c:majorTickMark val="none"/>
        <c:tickLblPos val="nextTo"/>
        <c:txPr>
          <a:bodyPr/>
          <a:lstStyle/>
          <a:p>
            <a:pPr>
              <a:defRPr lang="ar-SA"/>
            </a:pPr>
            <a:endParaRPr lang="ar-SA"/>
          </a:p>
        </c:txPr>
        <c:crossAx val="152520576"/>
        <c:crosses val="autoZero"/>
        <c:auto val="1"/>
        <c:lblAlgn val="ctr"/>
        <c:lblOffset val="100"/>
      </c:catAx>
      <c:valAx>
        <c:axId val="152520576"/>
        <c:scaling>
          <c:orientation val="minMax"/>
        </c:scaling>
        <c:axPos val="l"/>
        <c:majorGridlines/>
        <c:title>
          <c:tx>
            <c:rich>
              <a:bodyPr/>
              <a:lstStyle/>
              <a:p>
                <a:pPr>
                  <a:defRPr lang="ar-SA" b="0"/>
                </a:pPr>
                <a:r>
                  <a:rPr lang="en-US" b="0"/>
                  <a:t>CV</a:t>
                </a:r>
                <a:r>
                  <a:rPr lang="en-US" b="0" baseline="-25000"/>
                  <a:t>IR</a:t>
                </a:r>
                <a:r>
                  <a:rPr lang="en-US" b="0" baseline="0"/>
                  <a:t> &amp; CV</a:t>
                </a:r>
                <a:r>
                  <a:rPr lang="en-US" b="0" baseline="-25000"/>
                  <a:t>AIR</a:t>
                </a:r>
                <a:endParaRPr lang="en-US" b="0"/>
              </a:p>
            </c:rich>
          </c:tx>
        </c:title>
        <c:numFmt formatCode="General" sourceLinked="1"/>
        <c:majorTickMark val="none"/>
        <c:tickLblPos val="nextTo"/>
        <c:txPr>
          <a:bodyPr/>
          <a:lstStyle/>
          <a:p>
            <a:pPr>
              <a:defRPr lang="ar-SA"/>
            </a:pPr>
            <a:endParaRPr lang="ar-SA"/>
          </a:p>
        </c:txPr>
        <c:crossAx val="130395520"/>
        <c:crosses val="autoZero"/>
        <c:crossBetween val="between"/>
      </c:valAx>
      <c:dTable>
        <c:showHorzBorder val="1"/>
        <c:showVertBorder val="1"/>
        <c:showOutline val="1"/>
        <c:showKeys val="1"/>
        <c:txPr>
          <a:bodyPr/>
          <a:lstStyle/>
          <a:p>
            <a:pPr rtl="0">
              <a:defRPr lang="ar-SA"/>
            </a:pPr>
            <a:endParaRPr lang="ar-SA"/>
          </a:p>
        </c:txPr>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style val="1"/>
  <c:chart>
    <c:title>
      <c:tx>
        <c:rich>
          <a:bodyPr/>
          <a:lstStyle/>
          <a:p>
            <a:pPr>
              <a:defRPr lang="ar-SA"/>
            </a:pPr>
            <a:r>
              <a:rPr lang="en-US" sz="1200" b="0">
                <a:cs typeface="+mj-cs"/>
              </a:rPr>
              <a:t>The general</a:t>
            </a:r>
            <a:r>
              <a:rPr lang="en-US" sz="1200" b="0" baseline="0">
                <a:cs typeface="+mj-cs"/>
              </a:rPr>
              <a:t> indicator of price stability</a:t>
            </a:r>
            <a:endParaRPr lang="en-US" sz="1200" b="0">
              <a:cs typeface="+mj-cs"/>
            </a:endParaRPr>
          </a:p>
        </c:rich>
      </c:tx>
    </c:title>
    <c:plotArea>
      <c:layout/>
      <c:barChart>
        <c:barDir val="col"/>
        <c:grouping val="clustered"/>
        <c:ser>
          <c:idx val="0"/>
          <c:order val="0"/>
          <c:tx>
            <c:strRef>
              <c:f>Sheet1!$B$1</c:f>
              <c:strCache>
                <c:ptCount val="1"/>
                <c:pt idx="0">
                  <c:v>CVCPI</c:v>
                </c:pt>
              </c:strCache>
            </c:strRef>
          </c:tx>
          <c:cat>
            <c:strRef>
              <c:f>Sheet1!$A$2:$A$5</c:f>
              <c:strCache>
                <c:ptCount val="4"/>
                <c:pt idx="0">
                  <c:v>USA</c:v>
                </c:pt>
                <c:pt idx="1">
                  <c:v>UK</c:v>
                </c:pt>
                <c:pt idx="2">
                  <c:v>Japan</c:v>
                </c:pt>
                <c:pt idx="3">
                  <c:v>Australia</c:v>
                </c:pt>
              </c:strCache>
            </c:strRef>
          </c:cat>
          <c:val>
            <c:numRef>
              <c:f>Sheet1!$B$2:$B$5</c:f>
              <c:numCache>
                <c:formatCode>General</c:formatCode>
                <c:ptCount val="4"/>
                <c:pt idx="0">
                  <c:v>0.41980000000000239</c:v>
                </c:pt>
                <c:pt idx="1">
                  <c:v>0.50190000000000001</c:v>
                </c:pt>
                <c:pt idx="2">
                  <c:v>0.253</c:v>
                </c:pt>
                <c:pt idx="3">
                  <c:v>0.50980000000000003</c:v>
                </c:pt>
              </c:numCache>
            </c:numRef>
          </c:val>
        </c:ser>
        <c:ser>
          <c:idx val="1"/>
          <c:order val="1"/>
          <c:tx>
            <c:strRef>
              <c:f>Sheet1!$C$1</c:f>
              <c:strCache>
                <c:ptCount val="1"/>
                <c:pt idx="0">
                  <c:v>CVACPI</c:v>
                </c:pt>
              </c:strCache>
            </c:strRef>
          </c:tx>
          <c:cat>
            <c:strRef>
              <c:f>Sheet1!$A$2:$A$5</c:f>
              <c:strCache>
                <c:ptCount val="4"/>
                <c:pt idx="0">
                  <c:v>USA</c:v>
                </c:pt>
                <c:pt idx="1">
                  <c:v>UK</c:v>
                </c:pt>
                <c:pt idx="2">
                  <c:v>Japan</c:v>
                </c:pt>
                <c:pt idx="3">
                  <c:v>Australia</c:v>
                </c:pt>
              </c:strCache>
            </c:strRef>
          </c:cat>
          <c:val>
            <c:numRef>
              <c:f>Sheet1!$C$2:$C$5</c:f>
              <c:numCache>
                <c:formatCode>General</c:formatCode>
                <c:ptCount val="4"/>
                <c:pt idx="0">
                  <c:v>0.40830000000000038</c:v>
                </c:pt>
                <c:pt idx="1">
                  <c:v>0.38020000000000032</c:v>
                </c:pt>
                <c:pt idx="2">
                  <c:v>0.41010000000000002</c:v>
                </c:pt>
                <c:pt idx="3">
                  <c:v>0.35130000000000211</c:v>
                </c:pt>
              </c:numCache>
            </c:numRef>
          </c:val>
        </c:ser>
        <c:axId val="107529344"/>
        <c:axId val="107530880"/>
      </c:barChart>
      <c:catAx>
        <c:axId val="107529344"/>
        <c:scaling>
          <c:orientation val="minMax"/>
        </c:scaling>
        <c:axPos val="b"/>
        <c:majorTickMark val="none"/>
        <c:tickLblPos val="nextTo"/>
        <c:txPr>
          <a:bodyPr/>
          <a:lstStyle/>
          <a:p>
            <a:pPr>
              <a:defRPr lang="ar-SA"/>
            </a:pPr>
            <a:endParaRPr lang="ar-SA"/>
          </a:p>
        </c:txPr>
        <c:crossAx val="107530880"/>
        <c:crosses val="autoZero"/>
        <c:auto val="1"/>
        <c:lblAlgn val="ctr"/>
        <c:lblOffset val="100"/>
      </c:catAx>
      <c:valAx>
        <c:axId val="107530880"/>
        <c:scaling>
          <c:orientation val="minMax"/>
        </c:scaling>
        <c:axPos val="l"/>
        <c:majorGridlines/>
        <c:title>
          <c:tx>
            <c:rich>
              <a:bodyPr/>
              <a:lstStyle/>
              <a:p>
                <a:pPr>
                  <a:defRPr lang="ar-SA" sz="1200"/>
                </a:pPr>
                <a:r>
                  <a:rPr lang="en-US" sz="1200"/>
                  <a:t>CV</a:t>
                </a:r>
                <a:r>
                  <a:rPr lang="en-US" sz="1200" baseline="-25000"/>
                  <a:t>CPI</a:t>
                </a:r>
                <a:r>
                  <a:rPr lang="en-US" sz="1200" baseline="0"/>
                  <a:t> &amp; CV</a:t>
                </a:r>
                <a:r>
                  <a:rPr lang="en-US" sz="1200" baseline="-25000"/>
                  <a:t>ACPI</a:t>
                </a:r>
                <a:endParaRPr lang="en-US" sz="1200"/>
              </a:p>
            </c:rich>
          </c:tx>
        </c:title>
        <c:numFmt formatCode="General" sourceLinked="1"/>
        <c:majorTickMark val="none"/>
        <c:tickLblPos val="nextTo"/>
        <c:txPr>
          <a:bodyPr/>
          <a:lstStyle/>
          <a:p>
            <a:pPr>
              <a:defRPr lang="ar-SA"/>
            </a:pPr>
            <a:endParaRPr lang="ar-SA"/>
          </a:p>
        </c:txPr>
        <c:crossAx val="107529344"/>
        <c:crosses val="autoZero"/>
        <c:crossBetween val="between"/>
      </c:valAx>
      <c:dTable>
        <c:showHorzBorder val="1"/>
        <c:showVertBorder val="1"/>
        <c:showOutline val="1"/>
        <c:showKeys val="1"/>
        <c:txPr>
          <a:bodyPr/>
          <a:lstStyle/>
          <a:p>
            <a:pPr rtl="0">
              <a:defRPr lang="ar-SA"/>
            </a:pPr>
            <a:endParaRPr lang="ar-SA"/>
          </a:p>
        </c:txPr>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SA"/>
  <c:style val="1"/>
  <c:chart>
    <c:title>
      <c:tx>
        <c:rich>
          <a:bodyPr/>
          <a:lstStyle/>
          <a:p>
            <a:pPr>
              <a:defRPr lang="ar-SA"/>
            </a:pPr>
            <a:r>
              <a:rPr lang="en-US" sz="1200" b="0">
                <a:cs typeface="+mj-cs"/>
              </a:rPr>
              <a:t>CPI &amp; ACPI in the UK</a:t>
            </a:r>
          </a:p>
        </c:rich>
      </c:tx>
    </c:title>
    <c:plotArea>
      <c:layout/>
      <c:lineChart>
        <c:grouping val="standard"/>
        <c:ser>
          <c:idx val="0"/>
          <c:order val="0"/>
          <c:tx>
            <c:strRef>
              <c:f>Sheet1!$B$1</c:f>
              <c:strCache>
                <c:ptCount val="1"/>
                <c:pt idx="0">
                  <c:v>CPI</c:v>
                </c:pt>
              </c:strCache>
            </c:strRef>
          </c:tx>
          <c:marker>
            <c:symbol val="none"/>
          </c:marker>
          <c:cat>
            <c:numRef>
              <c:f>Sheet1!$A$2:$A$40</c:f>
              <c:numCache>
                <c:formatCode>General</c:formatCode>
                <c:ptCount val="39"/>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numCache>
            </c:numRef>
          </c:cat>
          <c:val>
            <c:numRef>
              <c:f>Sheet1!$B$2:$B$40</c:f>
              <c:numCache>
                <c:formatCode>General</c:formatCode>
                <c:ptCount val="39"/>
                <c:pt idx="0">
                  <c:v>80</c:v>
                </c:pt>
                <c:pt idx="1">
                  <c:v>85.7</c:v>
                </c:pt>
                <c:pt idx="2">
                  <c:v>93.5</c:v>
                </c:pt>
                <c:pt idx="3">
                  <c:v>108.5</c:v>
                </c:pt>
                <c:pt idx="4">
                  <c:v>134.80000000000001</c:v>
                </c:pt>
                <c:pt idx="5">
                  <c:v>157.1</c:v>
                </c:pt>
                <c:pt idx="6">
                  <c:v>182</c:v>
                </c:pt>
                <c:pt idx="7">
                  <c:v>197.1</c:v>
                </c:pt>
                <c:pt idx="8">
                  <c:v>223.5</c:v>
                </c:pt>
                <c:pt idx="9">
                  <c:v>263.7</c:v>
                </c:pt>
                <c:pt idx="10">
                  <c:v>295</c:v>
                </c:pt>
                <c:pt idx="11">
                  <c:v>220.4</c:v>
                </c:pt>
                <c:pt idx="12">
                  <c:v>335.1</c:v>
                </c:pt>
                <c:pt idx="13">
                  <c:v>351.8</c:v>
                </c:pt>
                <c:pt idx="14">
                  <c:v>373.2</c:v>
                </c:pt>
                <c:pt idx="15">
                  <c:v>385.9</c:v>
                </c:pt>
                <c:pt idx="16">
                  <c:v>402</c:v>
                </c:pt>
                <c:pt idx="17">
                  <c:v>421.7</c:v>
                </c:pt>
                <c:pt idx="18">
                  <c:v>454.5</c:v>
                </c:pt>
                <c:pt idx="19">
                  <c:v>497.5</c:v>
                </c:pt>
                <c:pt idx="20">
                  <c:v>526.70000000000005</c:v>
                </c:pt>
                <c:pt idx="21">
                  <c:v>546.4</c:v>
                </c:pt>
                <c:pt idx="22">
                  <c:v>555.1</c:v>
                </c:pt>
                <c:pt idx="23">
                  <c:v>568.5</c:v>
                </c:pt>
                <c:pt idx="24">
                  <c:v>588.20000000000005</c:v>
                </c:pt>
                <c:pt idx="25">
                  <c:v>602.4</c:v>
                </c:pt>
                <c:pt idx="26">
                  <c:v>621.29999999999995</c:v>
                </c:pt>
                <c:pt idx="27">
                  <c:v>642.6</c:v>
                </c:pt>
                <c:pt idx="28">
                  <c:v>652.5</c:v>
                </c:pt>
                <c:pt idx="29">
                  <c:v>671.8</c:v>
                </c:pt>
                <c:pt idx="30">
                  <c:v>683.7</c:v>
                </c:pt>
                <c:pt idx="31">
                  <c:v>695.1</c:v>
                </c:pt>
                <c:pt idx="32">
                  <c:v>715.2</c:v>
                </c:pt>
                <c:pt idx="33">
                  <c:v>724.81599999999946</c:v>
                </c:pt>
                <c:pt idx="34">
                  <c:v>740</c:v>
                </c:pt>
                <c:pt idx="35">
                  <c:v>757.3</c:v>
                </c:pt>
                <c:pt idx="36">
                  <c:v>774.8</c:v>
                </c:pt>
                <c:pt idx="37">
                  <c:v>802.8</c:v>
                </c:pt>
                <c:pt idx="38">
                  <c:v>831.8</c:v>
                </c:pt>
              </c:numCache>
            </c:numRef>
          </c:val>
        </c:ser>
        <c:ser>
          <c:idx val="1"/>
          <c:order val="1"/>
          <c:tx>
            <c:strRef>
              <c:f>Sheet1!$C$1</c:f>
              <c:strCache>
                <c:ptCount val="1"/>
                <c:pt idx="0">
                  <c:v>ACPI</c:v>
                </c:pt>
              </c:strCache>
            </c:strRef>
          </c:tx>
          <c:marker>
            <c:symbol val="none"/>
          </c:marker>
          <c:cat>
            <c:numRef>
              <c:f>Sheet1!$A$2:$A$40</c:f>
              <c:numCache>
                <c:formatCode>General</c:formatCode>
                <c:ptCount val="39"/>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numCache>
            </c:numRef>
          </c:cat>
          <c:val>
            <c:numRef>
              <c:f>Sheet1!$C$2:$C$40</c:f>
              <c:numCache>
                <c:formatCode>General</c:formatCode>
                <c:ptCount val="39"/>
                <c:pt idx="0">
                  <c:v>195</c:v>
                </c:pt>
                <c:pt idx="1">
                  <c:v>190.52466313388501</c:v>
                </c:pt>
                <c:pt idx="2">
                  <c:v>145.6446248010962</c:v>
                </c:pt>
                <c:pt idx="3">
                  <c:v>93.500638702600284</c:v>
                </c:pt>
                <c:pt idx="4">
                  <c:v>65.473756694959349</c:v>
                </c:pt>
                <c:pt idx="5">
                  <c:v>73.692514494143865</c:v>
                </c:pt>
                <c:pt idx="6">
                  <c:v>89.961333968204627</c:v>
                </c:pt>
                <c:pt idx="7">
                  <c:v>85.364761816773665</c:v>
                </c:pt>
                <c:pt idx="8">
                  <c:v>77.684478691717331</c:v>
                </c:pt>
                <c:pt idx="9">
                  <c:v>61.490344627746794</c:v>
                </c:pt>
                <c:pt idx="10">
                  <c:v>39.612492942814683</c:v>
                </c:pt>
                <c:pt idx="11">
                  <c:v>51.227990088898316</c:v>
                </c:pt>
                <c:pt idx="12">
                  <c:v>40.704703863089179</c:v>
                </c:pt>
                <c:pt idx="13">
                  <c:v>47.286670226452472</c:v>
                </c:pt>
                <c:pt idx="14">
                  <c:v>51.527485421157195</c:v>
                </c:pt>
                <c:pt idx="15">
                  <c:v>60.057047233274844</c:v>
                </c:pt>
                <c:pt idx="16">
                  <c:v>61.104565287325713</c:v>
                </c:pt>
                <c:pt idx="17">
                  <c:v>58.421835669557247</c:v>
                </c:pt>
                <c:pt idx="18">
                  <c:v>68.235898114581985</c:v>
                </c:pt>
                <c:pt idx="19">
                  <c:v>77.589918840123588</c:v>
                </c:pt>
                <c:pt idx="20">
                  <c:v>91.564595865254475</c:v>
                </c:pt>
                <c:pt idx="21">
                  <c:v>101.97244586658071</c:v>
                </c:pt>
                <c:pt idx="22">
                  <c:v>110.8762144949693</c:v>
                </c:pt>
                <c:pt idx="23">
                  <c:v>91.988843143829158</c:v>
                </c:pt>
                <c:pt idx="24">
                  <c:v>90.065525820379094</c:v>
                </c:pt>
                <c:pt idx="25">
                  <c:v>96.144984290634682</c:v>
                </c:pt>
                <c:pt idx="26">
                  <c:v>96.337072765634389</c:v>
                </c:pt>
                <c:pt idx="27">
                  <c:v>122.14566681190595</c:v>
                </c:pt>
                <c:pt idx="28">
                  <c:v>143.77716947097693</c:v>
                </c:pt>
                <c:pt idx="29">
                  <c:v>150.44487053712578</c:v>
                </c:pt>
                <c:pt idx="30">
                  <c:v>144.97031453097981</c:v>
                </c:pt>
                <c:pt idx="31">
                  <c:v>144.48778545150441</c:v>
                </c:pt>
                <c:pt idx="32">
                  <c:v>133.75086395733663</c:v>
                </c:pt>
                <c:pt idx="33">
                  <c:v>127.84197666940179</c:v>
                </c:pt>
                <c:pt idx="34">
                  <c:v>128.79718727568277</c:v>
                </c:pt>
                <c:pt idx="35">
                  <c:v>120.26001465873372</c:v>
                </c:pt>
                <c:pt idx="36">
                  <c:v>91.870917315288835</c:v>
                </c:pt>
                <c:pt idx="37">
                  <c:v>88.760356793053248</c:v>
                </c:pt>
                <c:pt idx="38">
                  <c:v>58.27866185485555</c:v>
                </c:pt>
              </c:numCache>
            </c:numRef>
          </c:val>
        </c:ser>
        <c:marker val="1"/>
        <c:axId val="108167936"/>
        <c:axId val="108169472"/>
      </c:lineChart>
      <c:catAx>
        <c:axId val="108167936"/>
        <c:scaling>
          <c:orientation val="minMax"/>
        </c:scaling>
        <c:axPos val="b"/>
        <c:numFmt formatCode="General" sourceLinked="1"/>
        <c:majorTickMark val="none"/>
        <c:tickLblPos val="nextTo"/>
        <c:txPr>
          <a:bodyPr/>
          <a:lstStyle/>
          <a:p>
            <a:pPr>
              <a:defRPr lang="ar-SA"/>
            </a:pPr>
            <a:endParaRPr lang="ar-SA"/>
          </a:p>
        </c:txPr>
        <c:crossAx val="108169472"/>
        <c:crosses val="autoZero"/>
        <c:auto val="1"/>
        <c:lblAlgn val="ctr"/>
        <c:lblOffset val="100"/>
      </c:catAx>
      <c:valAx>
        <c:axId val="108169472"/>
        <c:scaling>
          <c:orientation val="minMax"/>
        </c:scaling>
        <c:axPos val="l"/>
        <c:majorGridlines/>
        <c:numFmt formatCode="General" sourceLinked="1"/>
        <c:majorTickMark val="none"/>
        <c:tickLblPos val="nextTo"/>
        <c:spPr>
          <a:ln w="9525">
            <a:noFill/>
          </a:ln>
        </c:spPr>
        <c:txPr>
          <a:bodyPr/>
          <a:lstStyle/>
          <a:p>
            <a:pPr>
              <a:defRPr lang="ar-SA"/>
            </a:pPr>
            <a:endParaRPr lang="ar-SA"/>
          </a:p>
        </c:txPr>
        <c:crossAx val="108167936"/>
        <c:crosses val="autoZero"/>
        <c:crossBetween val="between"/>
      </c:valAx>
    </c:plotArea>
    <c:legend>
      <c:legendPos val="b"/>
      <c:txPr>
        <a:bodyPr/>
        <a:lstStyle/>
        <a:p>
          <a:pPr>
            <a:defRPr lang="ar-SA"/>
          </a:pPr>
          <a:endParaRPr lang="ar-SA"/>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ar-SA"/>
  <c:style val="1"/>
  <c:chart>
    <c:title>
      <c:tx>
        <c:rich>
          <a:bodyPr/>
          <a:lstStyle/>
          <a:p>
            <a:pPr>
              <a:defRPr lang="ar-SA"/>
            </a:pPr>
            <a:r>
              <a:rPr lang="en-US" sz="1200" b="0"/>
              <a:t>CPI &amp; ACPI</a:t>
            </a:r>
            <a:r>
              <a:rPr lang="en-US" sz="1200" b="0" baseline="0"/>
              <a:t> in the Australia</a:t>
            </a:r>
            <a:endParaRPr lang="en-US" sz="1200" b="0"/>
          </a:p>
        </c:rich>
      </c:tx>
    </c:title>
    <c:plotArea>
      <c:layout/>
      <c:lineChart>
        <c:grouping val="standard"/>
        <c:ser>
          <c:idx val="0"/>
          <c:order val="0"/>
          <c:tx>
            <c:strRef>
              <c:f>Sheet1!$B$1</c:f>
              <c:strCache>
                <c:ptCount val="1"/>
                <c:pt idx="0">
                  <c:v>CPI</c:v>
                </c:pt>
              </c:strCache>
            </c:strRef>
          </c:tx>
          <c:marker>
            <c:symbol val="none"/>
          </c:marker>
          <c:cat>
            <c:numRef>
              <c:f>Sheet1!$A$2:$A$40</c:f>
              <c:numCache>
                <c:formatCode>General</c:formatCode>
                <c:ptCount val="39"/>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numCache>
            </c:numRef>
          </c:cat>
          <c:val>
            <c:numRef>
              <c:f>Sheet1!$B$2:$B$40</c:f>
              <c:numCache>
                <c:formatCode>General</c:formatCode>
                <c:ptCount val="39"/>
                <c:pt idx="0">
                  <c:v>18.100000000000001</c:v>
                </c:pt>
                <c:pt idx="1">
                  <c:v>19.399999999999999</c:v>
                </c:pt>
                <c:pt idx="2">
                  <c:v>20.5</c:v>
                </c:pt>
                <c:pt idx="3">
                  <c:v>23.3</c:v>
                </c:pt>
                <c:pt idx="4">
                  <c:v>27.4</c:v>
                </c:pt>
                <c:pt idx="5">
                  <c:v>31</c:v>
                </c:pt>
                <c:pt idx="6">
                  <c:v>35.300000000000004</c:v>
                </c:pt>
                <c:pt idx="7">
                  <c:v>38.200000000000003</c:v>
                </c:pt>
                <c:pt idx="8">
                  <c:v>41.3</c:v>
                </c:pt>
                <c:pt idx="9">
                  <c:v>45.7</c:v>
                </c:pt>
                <c:pt idx="10">
                  <c:v>50</c:v>
                </c:pt>
                <c:pt idx="11">
                  <c:v>55.3</c:v>
                </c:pt>
                <c:pt idx="12">
                  <c:v>61.6</c:v>
                </c:pt>
                <c:pt idx="13">
                  <c:v>65.2</c:v>
                </c:pt>
                <c:pt idx="14">
                  <c:v>68.099999999999994</c:v>
                </c:pt>
                <c:pt idx="15">
                  <c:v>74.400000000000006</c:v>
                </c:pt>
                <c:pt idx="16">
                  <c:v>81.400000000000006</c:v>
                </c:pt>
                <c:pt idx="17">
                  <c:v>87</c:v>
                </c:pt>
                <c:pt idx="18">
                  <c:v>92.9</c:v>
                </c:pt>
                <c:pt idx="19">
                  <c:v>100.9</c:v>
                </c:pt>
                <c:pt idx="20">
                  <c:v>105.8</c:v>
                </c:pt>
                <c:pt idx="21">
                  <c:v>107.6</c:v>
                </c:pt>
                <c:pt idx="22">
                  <c:v>108.9</c:v>
                </c:pt>
                <c:pt idx="23">
                  <c:v>110.4</c:v>
                </c:pt>
                <c:pt idx="24">
                  <c:v>114.7</c:v>
                </c:pt>
                <c:pt idx="25">
                  <c:v>119</c:v>
                </c:pt>
                <c:pt idx="26">
                  <c:v>120.5</c:v>
                </c:pt>
                <c:pt idx="27">
                  <c:v>120.3</c:v>
                </c:pt>
                <c:pt idx="28">
                  <c:v>121.8</c:v>
                </c:pt>
                <c:pt idx="29">
                  <c:v>125.2</c:v>
                </c:pt>
                <c:pt idx="30">
                  <c:v>132.69999999999999</c:v>
                </c:pt>
                <c:pt idx="31">
                  <c:v>136.6</c:v>
                </c:pt>
                <c:pt idx="32">
                  <c:v>141.30000000000001</c:v>
                </c:pt>
                <c:pt idx="33">
                  <c:v>144.1</c:v>
                </c:pt>
                <c:pt idx="34">
                  <c:v>147.5</c:v>
                </c:pt>
                <c:pt idx="35">
                  <c:v>151.9</c:v>
                </c:pt>
                <c:pt idx="36">
                  <c:v>155.6</c:v>
                </c:pt>
                <c:pt idx="37">
                  <c:v>162.19999999999999</c:v>
                </c:pt>
                <c:pt idx="38">
                  <c:v>166.2</c:v>
                </c:pt>
              </c:numCache>
            </c:numRef>
          </c:val>
        </c:ser>
        <c:ser>
          <c:idx val="1"/>
          <c:order val="1"/>
          <c:tx>
            <c:strRef>
              <c:f>Sheet1!$C$1</c:f>
              <c:strCache>
                <c:ptCount val="1"/>
                <c:pt idx="0">
                  <c:v>ACPI</c:v>
                </c:pt>
              </c:strCache>
            </c:strRef>
          </c:tx>
          <c:marker>
            <c:symbol val="none"/>
          </c:marker>
          <c:cat>
            <c:numRef>
              <c:f>Sheet1!$A$2:$A$40</c:f>
              <c:numCache>
                <c:formatCode>General</c:formatCode>
                <c:ptCount val="39"/>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numCache>
            </c:numRef>
          </c:cat>
          <c:val>
            <c:numRef>
              <c:f>Sheet1!$C$2:$C$40</c:f>
              <c:numCache>
                <c:formatCode>General</c:formatCode>
                <c:ptCount val="39"/>
                <c:pt idx="0">
                  <c:v>250</c:v>
                </c:pt>
                <c:pt idx="1">
                  <c:v>248.14012748809114</c:v>
                </c:pt>
                <c:pt idx="2">
                  <c:v>194.30162590894562</c:v>
                </c:pt>
                <c:pt idx="3">
                  <c:v>146.6744144805017</c:v>
                </c:pt>
                <c:pt idx="4">
                  <c:v>106.78850820307908</c:v>
                </c:pt>
                <c:pt idx="5">
                  <c:v>109.35173097464096</c:v>
                </c:pt>
                <c:pt idx="6">
                  <c:v>149.27333292805162</c:v>
                </c:pt>
                <c:pt idx="7">
                  <c:v>129.93753166081768</c:v>
                </c:pt>
                <c:pt idx="8">
                  <c:v>111.0436799971517</c:v>
                </c:pt>
                <c:pt idx="9">
                  <c:v>74.055551929215895</c:v>
                </c:pt>
                <c:pt idx="10">
                  <c:v>41.563280568533791</c:v>
                </c:pt>
                <c:pt idx="11">
                  <c:v>61.28604704747486</c:v>
                </c:pt>
                <c:pt idx="12">
                  <c:v>73.417118821923225</c:v>
                </c:pt>
                <c:pt idx="13">
                  <c:v>63.985613647201966</c:v>
                </c:pt>
                <c:pt idx="14">
                  <c:v>77.963813420048467</c:v>
                </c:pt>
                <c:pt idx="15">
                  <c:v>74.099562588726556</c:v>
                </c:pt>
                <c:pt idx="16">
                  <c:v>66.591871004487658</c:v>
                </c:pt>
                <c:pt idx="17">
                  <c:v>62.73778669061695</c:v>
                </c:pt>
                <c:pt idx="18">
                  <c:v>76.652735675434329</c:v>
                </c:pt>
                <c:pt idx="19">
                  <c:v>95.477908313319958</c:v>
                </c:pt>
                <c:pt idx="20">
                  <c:v>100.86820316452965</c:v>
                </c:pt>
                <c:pt idx="21">
                  <c:v>111.53906845056825</c:v>
                </c:pt>
                <c:pt idx="22">
                  <c:v>112.94056096249949</c:v>
                </c:pt>
                <c:pt idx="23">
                  <c:v>100.8155580614704</c:v>
                </c:pt>
                <c:pt idx="24">
                  <c:v>103.16625422669141</c:v>
                </c:pt>
                <c:pt idx="25">
                  <c:v>108.71056284255727</c:v>
                </c:pt>
                <c:pt idx="26">
                  <c:v>111.36578885366578</c:v>
                </c:pt>
                <c:pt idx="27">
                  <c:v>133.01006064566258</c:v>
                </c:pt>
                <c:pt idx="28">
                  <c:v>126.30224993274047</c:v>
                </c:pt>
                <c:pt idx="29">
                  <c:v>138.2660000200469</c:v>
                </c:pt>
                <c:pt idx="30">
                  <c:v>128.29399466701938</c:v>
                </c:pt>
                <c:pt idx="31">
                  <c:v>124.00191816742065</c:v>
                </c:pt>
                <c:pt idx="32">
                  <c:v>117.83676958472985</c:v>
                </c:pt>
                <c:pt idx="33">
                  <c:v>124.57850744080444</c:v>
                </c:pt>
                <c:pt idx="34">
                  <c:v>127.06845234042049</c:v>
                </c:pt>
                <c:pt idx="35">
                  <c:v>124.16727287105005</c:v>
                </c:pt>
                <c:pt idx="36">
                  <c:v>93.003063803039581</c:v>
                </c:pt>
                <c:pt idx="37">
                  <c:v>92.195737384699683</c:v>
                </c:pt>
                <c:pt idx="38">
                  <c:v>77.786709937442851</c:v>
                </c:pt>
              </c:numCache>
            </c:numRef>
          </c:val>
        </c:ser>
        <c:marker val="1"/>
        <c:axId val="108223104"/>
        <c:axId val="108233088"/>
      </c:lineChart>
      <c:catAx>
        <c:axId val="108223104"/>
        <c:scaling>
          <c:orientation val="minMax"/>
        </c:scaling>
        <c:axPos val="b"/>
        <c:numFmt formatCode="General" sourceLinked="1"/>
        <c:majorTickMark val="none"/>
        <c:tickLblPos val="nextTo"/>
        <c:txPr>
          <a:bodyPr/>
          <a:lstStyle/>
          <a:p>
            <a:pPr>
              <a:defRPr lang="ar-SA"/>
            </a:pPr>
            <a:endParaRPr lang="ar-SA"/>
          </a:p>
        </c:txPr>
        <c:crossAx val="108233088"/>
        <c:crosses val="autoZero"/>
        <c:auto val="1"/>
        <c:lblAlgn val="ctr"/>
        <c:lblOffset val="100"/>
      </c:catAx>
      <c:valAx>
        <c:axId val="108233088"/>
        <c:scaling>
          <c:orientation val="minMax"/>
        </c:scaling>
        <c:axPos val="l"/>
        <c:majorGridlines/>
        <c:numFmt formatCode="General" sourceLinked="1"/>
        <c:majorTickMark val="none"/>
        <c:tickLblPos val="nextTo"/>
        <c:spPr>
          <a:ln w="9525">
            <a:noFill/>
          </a:ln>
        </c:spPr>
        <c:txPr>
          <a:bodyPr/>
          <a:lstStyle/>
          <a:p>
            <a:pPr>
              <a:defRPr lang="ar-SA"/>
            </a:pPr>
            <a:endParaRPr lang="ar-SA"/>
          </a:p>
        </c:txPr>
        <c:crossAx val="108223104"/>
        <c:crosses val="autoZero"/>
        <c:crossBetween val="between"/>
      </c:valAx>
    </c:plotArea>
    <c:legend>
      <c:legendPos val="b"/>
      <c:txPr>
        <a:bodyPr/>
        <a:lstStyle/>
        <a:p>
          <a:pPr>
            <a:defRPr lang="ar-SA"/>
          </a:pPr>
          <a:endParaRPr lang="ar-SA"/>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ar-SA"/>
  <c:style val="1"/>
  <c:chart>
    <c:title>
      <c:tx>
        <c:rich>
          <a:bodyPr/>
          <a:lstStyle/>
          <a:p>
            <a:pPr>
              <a:defRPr lang="ar-SA"/>
            </a:pPr>
            <a:r>
              <a:rPr lang="en-US" sz="1200" b="0">
                <a:cs typeface="+mj-cs"/>
              </a:rPr>
              <a:t>CPI &amp; ACPI in the USA</a:t>
            </a:r>
          </a:p>
        </c:rich>
      </c:tx>
    </c:title>
    <c:plotArea>
      <c:layout/>
      <c:lineChart>
        <c:grouping val="standard"/>
        <c:ser>
          <c:idx val="0"/>
          <c:order val="0"/>
          <c:tx>
            <c:strRef>
              <c:f>Sheet1!$B$1</c:f>
              <c:strCache>
                <c:ptCount val="1"/>
                <c:pt idx="0">
                  <c:v>CPI</c:v>
                </c:pt>
              </c:strCache>
            </c:strRef>
          </c:tx>
          <c:marker>
            <c:symbol val="none"/>
          </c:marker>
          <c:cat>
            <c:numRef>
              <c:f>Sheet1!$A$2:$A$40</c:f>
              <c:numCache>
                <c:formatCode>General</c:formatCode>
                <c:ptCount val="39"/>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numCache>
            </c:numRef>
          </c:cat>
          <c:val>
            <c:numRef>
              <c:f>Sheet1!$B$2:$B$40</c:f>
              <c:numCache>
                <c:formatCode>General</c:formatCode>
                <c:ptCount val="39"/>
                <c:pt idx="0">
                  <c:v>40.5</c:v>
                </c:pt>
                <c:pt idx="1">
                  <c:v>41.8</c:v>
                </c:pt>
                <c:pt idx="2">
                  <c:v>44.4</c:v>
                </c:pt>
                <c:pt idx="3">
                  <c:v>49.3</c:v>
                </c:pt>
                <c:pt idx="4">
                  <c:v>53.8</c:v>
                </c:pt>
                <c:pt idx="5">
                  <c:v>56.9</c:v>
                </c:pt>
                <c:pt idx="6">
                  <c:v>60.6</c:v>
                </c:pt>
                <c:pt idx="7">
                  <c:v>65.2</c:v>
                </c:pt>
                <c:pt idx="8">
                  <c:v>72.599999999999994</c:v>
                </c:pt>
                <c:pt idx="9">
                  <c:v>82.4</c:v>
                </c:pt>
                <c:pt idx="10">
                  <c:v>90.9</c:v>
                </c:pt>
                <c:pt idx="11">
                  <c:v>96.5</c:v>
                </c:pt>
                <c:pt idx="12">
                  <c:v>99.6</c:v>
                </c:pt>
                <c:pt idx="13">
                  <c:v>103.9</c:v>
                </c:pt>
                <c:pt idx="14">
                  <c:v>107.6</c:v>
                </c:pt>
                <c:pt idx="15">
                  <c:v>109.3</c:v>
                </c:pt>
                <c:pt idx="16">
                  <c:v>113.6</c:v>
                </c:pt>
                <c:pt idx="17">
                  <c:v>118.3</c:v>
                </c:pt>
                <c:pt idx="18">
                  <c:v>124</c:v>
                </c:pt>
                <c:pt idx="19">
                  <c:v>130.69999999999999</c:v>
                </c:pt>
                <c:pt idx="20">
                  <c:v>136.19999999999999</c:v>
                </c:pt>
                <c:pt idx="21">
                  <c:v>140.30000000000001</c:v>
                </c:pt>
                <c:pt idx="22">
                  <c:v>144.5</c:v>
                </c:pt>
                <c:pt idx="23">
                  <c:v>148.19999999999999</c:v>
                </c:pt>
                <c:pt idx="24">
                  <c:v>152.4</c:v>
                </c:pt>
                <c:pt idx="25">
                  <c:v>156.9</c:v>
                </c:pt>
                <c:pt idx="26">
                  <c:v>160.5</c:v>
                </c:pt>
                <c:pt idx="27">
                  <c:v>163</c:v>
                </c:pt>
                <c:pt idx="28">
                  <c:v>166.6</c:v>
                </c:pt>
                <c:pt idx="29">
                  <c:v>172.2</c:v>
                </c:pt>
                <c:pt idx="30">
                  <c:v>177.1</c:v>
                </c:pt>
                <c:pt idx="31">
                  <c:v>179.9</c:v>
                </c:pt>
                <c:pt idx="32">
                  <c:v>184</c:v>
                </c:pt>
                <c:pt idx="33">
                  <c:v>188.9</c:v>
                </c:pt>
                <c:pt idx="34">
                  <c:v>195.3</c:v>
                </c:pt>
                <c:pt idx="35">
                  <c:v>201.6</c:v>
                </c:pt>
                <c:pt idx="36">
                  <c:v>207.3</c:v>
                </c:pt>
                <c:pt idx="37">
                  <c:v>215.3</c:v>
                </c:pt>
                <c:pt idx="38">
                  <c:v>214.5</c:v>
                </c:pt>
              </c:numCache>
            </c:numRef>
          </c:val>
        </c:ser>
        <c:ser>
          <c:idx val="1"/>
          <c:order val="1"/>
          <c:tx>
            <c:strRef>
              <c:f>Sheet1!$C$1</c:f>
              <c:strCache>
                <c:ptCount val="1"/>
                <c:pt idx="0">
                  <c:v>ACPI</c:v>
                </c:pt>
              </c:strCache>
            </c:strRef>
          </c:tx>
          <c:marker>
            <c:symbol val="none"/>
          </c:marker>
          <c:cat>
            <c:numRef>
              <c:f>Sheet1!$A$2:$A$40</c:f>
              <c:numCache>
                <c:formatCode>General</c:formatCode>
                <c:ptCount val="39"/>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numCache>
            </c:numRef>
          </c:cat>
          <c:val>
            <c:numRef>
              <c:f>Sheet1!$C$2:$C$40</c:f>
              <c:numCache>
                <c:formatCode>General</c:formatCode>
                <c:ptCount val="39"/>
                <c:pt idx="0">
                  <c:v>425.73854783924673</c:v>
                </c:pt>
                <c:pt idx="1">
                  <c:v>305.52207817930707</c:v>
                </c:pt>
                <c:pt idx="2">
                  <c:v>194.66885506976936</c:v>
                </c:pt>
                <c:pt idx="3">
                  <c:v>136.69545306914156</c:v>
                </c:pt>
                <c:pt idx="4">
                  <c:v>142.81113857948606</c:v>
                </c:pt>
                <c:pt idx="5">
                  <c:v>194.7755310052907</c:v>
                </c:pt>
                <c:pt idx="6">
                  <c:v>175.02840720060397</c:v>
                </c:pt>
                <c:pt idx="7">
                  <c:v>143.95242864179951</c:v>
                </c:pt>
                <c:pt idx="8">
                  <c:v>101.30784204313018</c:v>
                </c:pt>
                <c:pt idx="9">
                  <c:v>57.211056292689698</c:v>
                </c:pt>
                <c:pt idx="10">
                  <c:v>84.37891213218434</c:v>
                </c:pt>
                <c:pt idx="11">
                  <c:v>109.5890945611192</c:v>
                </c:pt>
                <c:pt idx="12">
                  <c:v>99.599998924320005</c:v>
                </c:pt>
                <c:pt idx="13">
                  <c:v>122.89556653976388</c:v>
                </c:pt>
                <c:pt idx="14">
                  <c:v>144.93753786685122</c:v>
                </c:pt>
                <c:pt idx="15">
                  <c:v>126.82363993465248</c:v>
                </c:pt>
                <c:pt idx="16">
                  <c:v>108.51722477879804</c:v>
                </c:pt>
                <c:pt idx="17">
                  <c:v>115.59290493008631</c:v>
                </c:pt>
                <c:pt idx="18">
                  <c:v>138.97112710803691</c:v>
                </c:pt>
                <c:pt idx="19">
                  <c:v>145.52136684118767</c:v>
                </c:pt>
                <c:pt idx="20">
                  <c:v>160.60699613901875</c:v>
                </c:pt>
                <c:pt idx="21">
                  <c:v>174.24262507414304</c:v>
                </c:pt>
                <c:pt idx="22">
                  <c:v>171.50262482592714</c:v>
                </c:pt>
                <c:pt idx="23">
                  <c:v>164.79531072021058</c:v>
                </c:pt>
                <c:pt idx="24">
                  <c:v>169.55835039264224</c:v>
                </c:pt>
                <c:pt idx="25">
                  <c:v>172.75547117516302</c:v>
                </c:pt>
                <c:pt idx="26">
                  <c:v>207.03733689758607</c:v>
                </c:pt>
                <c:pt idx="27">
                  <c:v>236.54499472644315</c:v>
                </c:pt>
                <c:pt idx="28">
                  <c:v>254.99390361928252</c:v>
                </c:pt>
                <c:pt idx="29">
                  <c:v>263.44236754642429</c:v>
                </c:pt>
                <c:pt idx="30">
                  <c:v>279.00567880492048</c:v>
                </c:pt>
                <c:pt idx="31">
                  <c:v>248.0137512361479</c:v>
                </c:pt>
                <c:pt idx="32">
                  <c:v>216.21442883886178</c:v>
                </c:pt>
                <c:pt idx="33">
                  <c:v>196.86688257558521</c:v>
                </c:pt>
                <c:pt idx="34">
                  <c:v>187.5097789705323</c:v>
                </c:pt>
                <c:pt idx="35">
                  <c:v>142.64938698555238</c:v>
                </c:pt>
                <c:pt idx="36">
                  <c:v>127.29130278550932</c:v>
                </c:pt>
                <c:pt idx="37">
                  <c:v>105.43270219634218</c:v>
                </c:pt>
                <c:pt idx="38">
                  <c:v>102</c:v>
                </c:pt>
              </c:numCache>
            </c:numRef>
          </c:val>
        </c:ser>
        <c:marker val="1"/>
        <c:axId val="106156800"/>
        <c:axId val="106158336"/>
      </c:lineChart>
      <c:catAx>
        <c:axId val="106156800"/>
        <c:scaling>
          <c:orientation val="minMax"/>
        </c:scaling>
        <c:axPos val="b"/>
        <c:numFmt formatCode="General" sourceLinked="1"/>
        <c:majorTickMark val="none"/>
        <c:tickLblPos val="nextTo"/>
        <c:txPr>
          <a:bodyPr/>
          <a:lstStyle/>
          <a:p>
            <a:pPr>
              <a:defRPr lang="ar-SA"/>
            </a:pPr>
            <a:endParaRPr lang="ar-SA"/>
          </a:p>
        </c:txPr>
        <c:crossAx val="106158336"/>
        <c:crosses val="autoZero"/>
        <c:auto val="1"/>
        <c:lblAlgn val="ctr"/>
        <c:lblOffset val="100"/>
      </c:catAx>
      <c:valAx>
        <c:axId val="106158336"/>
        <c:scaling>
          <c:orientation val="minMax"/>
        </c:scaling>
        <c:axPos val="l"/>
        <c:majorGridlines/>
        <c:numFmt formatCode="General" sourceLinked="1"/>
        <c:majorTickMark val="none"/>
        <c:tickLblPos val="nextTo"/>
        <c:spPr>
          <a:ln w="9525">
            <a:noFill/>
          </a:ln>
        </c:spPr>
        <c:txPr>
          <a:bodyPr/>
          <a:lstStyle/>
          <a:p>
            <a:pPr>
              <a:defRPr lang="ar-SA"/>
            </a:pPr>
            <a:endParaRPr lang="ar-SA"/>
          </a:p>
        </c:txPr>
        <c:crossAx val="106156800"/>
        <c:crosses val="autoZero"/>
        <c:crossBetween val="between"/>
      </c:valAx>
    </c:plotArea>
    <c:legend>
      <c:legendPos val="b"/>
      <c:txPr>
        <a:bodyPr/>
        <a:lstStyle/>
        <a:p>
          <a:pPr>
            <a:defRPr lang="ar-SA"/>
          </a:pPr>
          <a:endParaRPr lang="ar-SA"/>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ar-SA"/>
  <c:style val="1"/>
  <c:chart>
    <c:title>
      <c:tx>
        <c:rich>
          <a:bodyPr/>
          <a:lstStyle/>
          <a:p>
            <a:pPr>
              <a:defRPr lang="ar-SA"/>
            </a:pPr>
            <a:r>
              <a:rPr lang="en-US" sz="1200" b="0"/>
              <a:t>CPI</a:t>
            </a:r>
            <a:r>
              <a:rPr lang="en-US" sz="1200" b="0" baseline="0"/>
              <a:t> &amp; ACPI in the Japan</a:t>
            </a:r>
            <a:endParaRPr lang="en-US" sz="1200" b="0"/>
          </a:p>
        </c:rich>
      </c:tx>
    </c:title>
    <c:plotArea>
      <c:layout/>
      <c:lineChart>
        <c:grouping val="standard"/>
        <c:ser>
          <c:idx val="0"/>
          <c:order val="0"/>
          <c:tx>
            <c:strRef>
              <c:f>Sheet1!$B$1</c:f>
              <c:strCache>
                <c:ptCount val="1"/>
                <c:pt idx="0">
                  <c:v>CPI</c:v>
                </c:pt>
              </c:strCache>
            </c:strRef>
          </c:tx>
          <c:marker>
            <c:symbol val="none"/>
          </c:marker>
          <c:cat>
            <c:numRef>
              <c:f>Sheet1!$A$2:$A$40</c:f>
              <c:numCache>
                <c:formatCode>General</c:formatCode>
                <c:ptCount val="39"/>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numCache>
            </c:numRef>
          </c:cat>
          <c:val>
            <c:numRef>
              <c:f>Sheet1!$B$2:$B$40</c:f>
              <c:numCache>
                <c:formatCode>General</c:formatCode>
                <c:ptCount val="39"/>
                <c:pt idx="0">
                  <c:v>33.800000000000004</c:v>
                </c:pt>
                <c:pt idx="1">
                  <c:v>35.200000000000003</c:v>
                </c:pt>
                <c:pt idx="2">
                  <c:v>37.5</c:v>
                </c:pt>
                <c:pt idx="3">
                  <c:v>45.8</c:v>
                </c:pt>
                <c:pt idx="4">
                  <c:v>53.8</c:v>
                </c:pt>
                <c:pt idx="5">
                  <c:v>58.5</c:v>
                </c:pt>
                <c:pt idx="6">
                  <c:v>64</c:v>
                </c:pt>
                <c:pt idx="7">
                  <c:v>66.900000000000006</c:v>
                </c:pt>
                <c:pt idx="8">
                  <c:v>69.3</c:v>
                </c:pt>
                <c:pt idx="9">
                  <c:v>73.900000000000006</c:v>
                </c:pt>
                <c:pt idx="10">
                  <c:v>79.3</c:v>
                </c:pt>
                <c:pt idx="11">
                  <c:v>81.8</c:v>
                </c:pt>
                <c:pt idx="12">
                  <c:v>83.6</c:v>
                </c:pt>
                <c:pt idx="13">
                  <c:v>85.2</c:v>
                </c:pt>
                <c:pt idx="14">
                  <c:v>87.5</c:v>
                </c:pt>
                <c:pt idx="15">
                  <c:v>88.8</c:v>
                </c:pt>
                <c:pt idx="16">
                  <c:v>87.8</c:v>
                </c:pt>
                <c:pt idx="17">
                  <c:v>88.6</c:v>
                </c:pt>
                <c:pt idx="18">
                  <c:v>89.6</c:v>
                </c:pt>
                <c:pt idx="19">
                  <c:v>92.5</c:v>
                </c:pt>
                <c:pt idx="20">
                  <c:v>96.2</c:v>
                </c:pt>
                <c:pt idx="21">
                  <c:v>97.9</c:v>
                </c:pt>
                <c:pt idx="22">
                  <c:v>99.1</c:v>
                </c:pt>
                <c:pt idx="23">
                  <c:v>100.4</c:v>
                </c:pt>
                <c:pt idx="24">
                  <c:v>100.9</c:v>
                </c:pt>
                <c:pt idx="25">
                  <c:v>100.4</c:v>
                </c:pt>
                <c:pt idx="26">
                  <c:v>101</c:v>
                </c:pt>
                <c:pt idx="27">
                  <c:v>102.9</c:v>
                </c:pt>
                <c:pt idx="28">
                  <c:v>103.1</c:v>
                </c:pt>
                <c:pt idx="29">
                  <c:v>102.4</c:v>
                </c:pt>
                <c:pt idx="30">
                  <c:v>102</c:v>
                </c:pt>
                <c:pt idx="31">
                  <c:v>100.6</c:v>
                </c:pt>
                <c:pt idx="32">
                  <c:v>100.2</c:v>
                </c:pt>
                <c:pt idx="33">
                  <c:v>99.9</c:v>
                </c:pt>
                <c:pt idx="34">
                  <c:v>100.1</c:v>
                </c:pt>
                <c:pt idx="35">
                  <c:v>100</c:v>
                </c:pt>
                <c:pt idx="36">
                  <c:v>100</c:v>
                </c:pt>
                <c:pt idx="37">
                  <c:v>100.7</c:v>
                </c:pt>
                <c:pt idx="38">
                  <c:v>100.8</c:v>
                </c:pt>
              </c:numCache>
            </c:numRef>
          </c:val>
        </c:ser>
        <c:ser>
          <c:idx val="1"/>
          <c:order val="1"/>
          <c:tx>
            <c:strRef>
              <c:f>Sheet1!$C$1</c:f>
              <c:strCache>
                <c:ptCount val="1"/>
                <c:pt idx="0">
                  <c:v>ACPI</c:v>
                </c:pt>
              </c:strCache>
            </c:strRef>
          </c:tx>
          <c:marker>
            <c:symbol val="none"/>
          </c:marker>
          <c:cat>
            <c:numRef>
              <c:f>Sheet1!$A$2:$A$40</c:f>
              <c:numCache>
                <c:formatCode>General</c:formatCode>
                <c:ptCount val="39"/>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numCache>
            </c:numRef>
          </c:cat>
          <c:val>
            <c:numRef>
              <c:f>Sheet1!$C$2:$C$40</c:f>
              <c:numCache>
                <c:formatCode>General</c:formatCode>
                <c:ptCount val="39"/>
                <c:pt idx="0">
                  <c:v>96</c:v>
                </c:pt>
                <c:pt idx="1">
                  <c:v>93.821309272974858</c:v>
                </c:pt>
                <c:pt idx="2">
                  <c:v>78.007943890619785</c:v>
                </c:pt>
                <c:pt idx="3">
                  <c:v>55.676505348291379</c:v>
                </c:pt>
                <c:pt idx="4">
                  <c:v>39.977047780932665</c:v>
                </c:pt>
                <c:pt idx="5">
                  <c:v>44.226336742522626</c:v>
                </c:pt>
                <c:pt idx="6">
                  <c:v>62.075332457368646</c:v>
                </c:pt>
                <c:pt idx="7">
                  <c:v>63.299038995205599</c:v>
                </c:pt>
                <c:pt idx="8">
                  <c:v>64.500624084058927</c:v>
                </c:pt>
                <c:pt idx="9">
                  <c:v>40.541875954820021</c:v>
                </c:pt>
                <c:pt idx="10">
                  <c:v>20.812062225176327</c:v>
                </c:pt>
                <c:pt idx="11">
                  <c:v>30.687935936031977</c:v>
                </c:pt>
                <c:pt idx="12">
                  <c:v>34.279806016669426</c:v>
                </c:pt>
                <c:pt idx="13">
                  <c:v>32.35761515224867</c:v>
                </c:pt>
                <c:pt idx="14">
                  <c:v>38.982675538314034</c:v>
                </c:pt>
                <c:pt idx="15">
                  <c:v>45.4226929799811</c:v>
                </c:pt>
                <c:pt idx="16">
                  <c:v>56.199039659420606</c:v>
                </c:pt>
                <c:pt idx="17">
                  <c:v>53.298041739306861</c:v>
                </c:pt>
                <c:pt idx="18">
                  <c:v>62.089781150785974</c:v>
                </c:pt>
                <c:pt idx="19">
                  <c:v>66.877799786150888</c:v>
                </c:pt>
                <c:pt idx="20">
                  <c:v>65.358694764084689</c:v>
                </c:pt>
                <c:pt idx="21">
                  <c:v>77.508377928015349</c:v>
                </c:pt>
                <c:pt idx="22">
                  <c:v>88.160714247504188</c:v>
                </c:pt>
                <c:pt idx="23">
                  <c:v>97.181280115538968</c:v>
                </c:pt>
                <c:pt idx="24">
                  <c:v>100.39986256582485</c:v>
                </c:pt>
                <c:pt idx="25">
                  <c:v>109.6333218383503</c:v>
                </c:pt>
                <c:pt idx="26">
                  <c:v>93.374408494999059</c:v>
                </c:pt>
                <c:pt idx="27">
                  <c:v>98.878884625993948</c:v>
                </c:pt>
                <c:pt idx="28">
                  <c:v>104.90758013443875</c:v>
                </c:pt>
                <c:pt idx="29">
                  <c:v>127.53700591378363</c:v>
                </c:pt>
                <c:pt idx="30">
                  <c:v>133.53076534861401</c:v>
                </c:pt>
                <c:pt idx="31">
                  <c:v>121.52986592801281</c:v>
                </c:pt>
                <c:pt idx="32">
                  <c:v>101.75127047349545</c:v>
                </c:pt>
                <c:pt idx="33">
                  <c:v>93.351711866467639</c:v>
                </c:pt>
                <c:pt idx="34">
                  <c:v>88.467828730618862</c:v>
                </c:pt>
                <c:pt idx="35">
                  <c:v>80.195598187797259</c:v>
                </c:pt>
                <c:pt idx="36">
                  <c:v>55.891710605408576</c:v>
                </c:pt>
                <c:pt idx="37">
                  <c:v>47.919791062198776</c:v>
                </c:pt>
                <c:pt idx="38">
                  <c:v>43.838984588830144</c:v>
                </c:pt>
              </c:numCache>
            </c:numRef>
          </c:val>
        </c:ser>
        <c:marker val="1"/>
        <c:axId val="108239488"/>
        <c:axId val="127684992"/>
      </c:lineChart>
      <c:catAx>
        <c:axId val="108239488"/>
        <c:scaling>
          <c:orientation val="minMax"/>
        </c:scaling>
        <c:axPos val="b"/>
        <c:numFmt formatCode="General" sourceLinked="1"/>
        <c:majorTickMark val="none"/>
        <c:tickLblPos val="nextTo"/>
        <c:txPr>
          <a:bodyPr/>
          <a:lstStyle/>
          <a:p>
            <a:pPr>
              <a:defRPr lang="ar-SA"/>
            </a:pPr>
            <a:endParaRPr lang="ar-SA"/>
          </a:p>
        </c:txPr>
        <c:crossAx val="127684992"/>
        <c:crosses val="autoZero"/>
        <c:auto val="1"/>
        <c:lblAlgn val="ctr"/>
        <c:lblOffset val="100"/>
      </c:catAx>
      <c:valAx>
        <c:axId val="127684992"/>
        <c:scaling>
          <c:orientation val="minMax"/>
        </c:scaling>
        <c:axPos val="l"/>
        <c:majorGridlines/>
        <c:numFmt formatCode="General" sourceLinked="1"/>
        <c:majorTickMark val="none"/>
        <c:tickLblPos val="nextTo"/>
        <c:spPr>
          <a:ln w="9525">
            <a:noFill/>
          </a:ln>
        </c:spPr>
        <c:txPr>
          <a:bodyPr/>
          <a:lstStyle/>
          <a:p>
            <a:pPr>
              <a:defRPr lang="ar-SA"/>
            </a:pPr>
            <a:endParaRPr lang="ar-SA"/>
          </a:p>
        </c:txPr>
        <c:crossAx val="108239488"/>
        <c:crosses val="autoZero"/>
        <c:crossBetween val="between"/>
      </c:valAx>
    </c:plotArea>
    <c:legend>
      <c:legendPos val="b"/>
      <c:txPr>
        <a:bodyPr/>
        <a:lstStyle/>
        <a:p>
          <a:pPr>
            <a:defRPr lang="ar-SA"/>
          </a:pPr>
          <a:endParaRPr lang="ar-SA"/>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359BE-3CD2-40BC-97C8-28CD1D65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2941</TotalTime>
  <Pages>56</Pages>
  <Words>10431</Words>
  <Characters>59460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261</cp:revision>
  <dcterms:created xsi:type="dcterms:W3CDTF">2010-05-17T04:57:00Z</dcterms:created>
  <dcterms:modified xsi:type="dcterms:W3CDTF">2010-07-22T10:31:00Z</dcterms:modified>
</cp:coreProperties>
</file>